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4D215A" w14:textId="77777777" w:rsidR="00E93731" w:rsidRPr="00437CA9" w:rsidRDefault="00E93731" w:rsidP="00E93731">
      <w:pPr>
        <w:rPr>
          <w:rFonts w:ascii="TyponineSans Reg" w:hAnsi="TyponineSans Reg"/>
          <w:b/>
          <w:sz w:val="24"/>
        </w:rPr>
      </w:pPr>
      <w:bookmarkStart w:id="0" w:name="_Hlk94465267"/>
      <w:bookmarkEnd w:id="0"/>
    </w:p>
    <w:p w14:paraId="5D74C792" w14:textId="64A92DC1" w:rsidR="005C1ED8" w:rsidRPr="00437CA9" w:rsidRDefault="000B6CC6" w:rsidP="00054365">
      <w:pPr>
        <w:jc w:val="right"/>
        <w:rPr>
          <w:rFonts w:ascii="TyponineSans Reg" w:hAnsi="TyponineSans Reg"/>
          <w:b/>
          <w:sz w:val="24"/>
        </w:rPr>
      </w:pPr>
      <w:r w:rsidRPr="00437CA9">
        <w:rPr>
          <w:rFonts w:ascii="TyponineSans Reg" w:hAnsi="TyponineSans Reg"/>
        </w:rPr>
        <w:drawing>
          <wp:inline distT="0" distB="0" distL="0" distR="0" wp14:anchorId="086DC061" wp14:editId="757A0268">
            <wp:extent cx="2212975" cy="629285"/>
            <wp:effectExtent l="0" t="0" r="0" b="0"/>
            <wp:docPr id="1" name="Picture 1" descr="NP_brijuni_logo-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P_brijuni_logo-0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12975" cy="629285"/>
                    </a:xfrm>
                    <a:prstGeom prst="rect">
                      <a:avLst/>
                    </a:prstGeom>
                    <a:noFill/>
                    <a:ln>
                      <a:noFill/>
                    </a:ln>
                  </pic:spPr>
                </pic:pic>
              </a:graphicData>
            </a:graphic>
          </wp:inline>
        </w:drawing>
      </w:r>
      <w:r w:rsidR="005C1ED8" w:rsidRPr="00437CA9">
        <w:rPr>
          <w:rFonts w:ascii="TyponineSans Reg" w:hAnsi="TyponineSans Reg"/>
          <w:b/>
          <w:sz w:val="24"/>
        </w:rPr>
        <w:t xml:space="preserve">    </w:t>
      </w:r>
    </w:p>
    <w:p w14:paraId="64191277" w14:textId="77777777" w:rsidR="005C1ED8" w:rsidRPr="00437CA9" w:rsidRDefault="005C1ED8">
      <w:pPr>
        <w:rPr>
          <w:rFonts w:ascii="TyponineSans Reg" w:hAnsi="TyponineSans Reg"/>
          <w:sz w:val="24"/>
        </w:rPr>
      </w:pPr>
      <w:r w:rsidRPr="00437CA9">
        <w:rPr>
          <w:rFonts w:ascii="TyponineSans Reg" w:hAnsi="TyponineSans Reg"/>
          <w:b/>
          <w:sz w:val="24"/>
        </w:rPr>
        <w:t xml:space="preserve"> </w:t>
      </w:r>
    </w:p>
    <w:p w14:paraId="30E644AF" w14:textId="77777777" w:rsidR="005C1ED8" w:rsidRPr="00437CA9" w:rsidRDefault="005C1ED8">
      <w:pPr>
        <w:rPr>
          <w:rFonts w:ascii="TyponineSans Reg" w:hAnsi="TyponineSans Reg"/>
          <w:sz w:val="24"/>
        </w:rPr>
      </w:pPr>
    </w:p>
    <w:p w14:paraId="0CE5C52B" w14:textId="77777777" w:rsidR="005C1ED8" w:rsidRPr="00437CA9" w:rsidRDefault="005C1ED8">
      <w:pPr>
        <w:rPr>
          <w:rFonts w:ascii="TyponineSans Reg" w:hAnsi="TyponineSans Reg"/>
          <w:sz w:val="24"/>
        </w:rPr>
      </w:pPr>
    </w:p>
    <w:p w14:paraId="65C9C30F" w14:textId="77777777" w:rsidR="005C1ED8" w:rsidRPr="00437CA9" w:rsidRDefault="005C1ED8">
      <w:pPr>
        <w:rPr>
          <w:rFonts w:ascii="TyponineSans Reg" w:hAnsi="TyponineSans Reg"/>
          <w:sz w:val="24"/>
        </w:rPr>
      </w:pPr>
    </w:p>
    <w:p w14:paraId="084CF862" w14:textId="77777777" w:rsidR="005C1ED8" w:rsidRPr="00437CA9" w:rsidRDefault="005C1ED8">
      <w:pPr>
        <w:rPr>
          <w:rFonts w:ascii="TyponineSans Reg" w:hAnsi="TyponineSans Reg"/>
          <w:sz w:val="24"/>
        </w:rPr>
      </w:pPr>
    </w:p>
    <w:p w14:paraId="0BE18A97" w14:textId="77777777" w:rsidR="005C1ED8" w:rsidRPr="00437CA9" w:rsidRDefault="005C1ED8">
      <w:pPr>
        <w:rPr>
          <w:rFonts w:ascii="TyponineSans Reg" w:hAnsi="TyponineSans Reg"/>
          <w:sz w:val="24"/>
        </w:rPr>
      </w:pPr>
    </w:p>
    <w:p w14:paraId="668E852A" w14:textId="77777777" w:rsidR="005C1ED8" w:rsidRPr="00437CA9" w:rsidRDefault="005C1ED8">
      <w:pPr>
        <w:rPr>
          <w:rFonts w:ascii="TyponineSans Reg" w:hAnsi="TyponineSans Reg"/>
          <w:sz w:val="24"/>
        </w:rPr>
      </w:pPr>
    </w:p>
    <w:p w14:paraId="049792F3" w14:textId="77777777" w:rsidR="005C1ED8" w:rsidRPr="00437CA9" w:rsidRDefault="005C1ED8">
      <w:pPr>
        <w:rPr>
          <w:rFonts w:ascii="TyponineSans Reg" w:hAnsi="TyponineSans Reg"/>
          <w:sz w:val="24"/>
        </w:rPr>
      </w:pPr>
    </w:p>
    <w:p w14:paraId="45ED1CF7" w14:textId="77777777" w:rsidR="005C1ED8" w:rsidRPr="00437CA9" w:rsidRDefault="005C1ED8">
      <w:pPr>
        <w:rPr>
          <w:rFonts w:ascii="TyponineSans Reg" w:hAnsi="TyponineSans Reg"/>
          <w:sz w:val="24"/>
        </w:rPr>
      </w:pPr>
    </w:p>
    <w:p w14:paraId="347CFB69" w14:textId="77777777" w:rsidR="005C1ED8" w:rsidRPr="00437CA9" w:rsidRDefault="005C1ED8">
      <w:pPr>
        <w:rPr>
          <w:rFonts w:ascii="TyponineSans Reg" w:hAnsi="TyponineSans Reg"/>
          <w:sz w:val="24"/>
        </w:rPr>
      </w:pPr>
    </w:p>
    <w:p w14:paraId="39C5B027" w14:textId="77777777" w:rsidR="005C1ED8" w:rsidRPr="00437CA9" w:rsidRDefault="005C1ED8">
      <w:pPr>
        <w:rPr>
          <w:rFonts w:ascii="TyponineSans Reg" w:hAnsi="TyponineSans Reg"/>
          <w:sz w:val="24"/>
        </w:rPr>
      </w:pPr>
    </w:p>
    <w:p w14:paraId="7003AD2B" w14:textId="77777777" w:rsidR="005C1ED8" w:rsidRPr="00437CA9" w:rsidRDefault="005C1ED8">
      <w:pPr>
        <w:rPr>
          <w:rFonts w:ascii="TyponineSans Reg" w:hAnsi="TyponineSans Reg"/>
          <w:sz w:val="24"/>
        </w:rPr>
      </w:pPr>
    </w:p>
    <w:p w14:paraId="58174521" w14:textId="77777777" w:rsidR="005C1ED8" w:rsidRPr="00437CA9" w:rsidRDefault="005C1ED8">
      <w:pPr>
        <w:rPr>
          <w:rFonts w:ascii="TyponineSans Reg" w:hAnsi="TyponineSans Reg"/>
          <w:sz w:val="24"/>
        </w:rPr>
      </w:pPr>
    </w:p>
    <w:p w14:paraId="0FC3DC3B" w14:textId="77777777" w:rsidR="005C1ED8" w:rsidRPr="00437CA9" w:rsidRDefault="005C1ED8">
      <w:pPr>
        <w:rPr>
          <w:rFonts w:ascii="TyponineSans Reg" w:hAnsi="TyponineSans Reg"/>
          <w:sz w:val="24"/>
        </w:rPr>
      </w:pPr>
    </w:p>
    <w:p w14:paraId="67E483B8" w14:textId="77777777" w:rsidR="005C1ED8" w:rsidRPr="00437CA9" w:rsidRDefault="005C1ED8">
      <w:pPr>
        <w:rPr>
          <w:rFonts w:ascii="TyponineSans Reg" w:hAnsi="TyponineSans Reg"/>
          <w:sz w:val="24"/>
        </w:rPr>
      </w:pPr>
    </w:p>
    <w:p w14:paraId="449E2434" w14:textId="77777777" w:rsidR="005C1ED8" w:rsidRPr="00437CA9" w:rsidRDefault="005C1ED8">
      <w:pPr>
        <w:pStyle w:val="Heading2"/>
        <w:rPr>
          <w:rFonts w:ascii="TyponineSans Reg" w:hAnsi="TyponineSans Reg"/>
          <w:b w:val="0"/>
          <w:szCs w:val="36"/>
        </w:rPr>
      </w:pPr>
      <w:r w:rsidRPr="00437CA9">
        <w:rPr>
          <w:rFonts w:ascii="TyponineSans Reg" w:hAnsi="TyponineSans Reg"/>
          <w:b w:val="0"/>
          <w:szCs w:val="36"/>
        </w:rPr>
        <w:t>Bilješke uz financijske izvještaje</w:t>
      </w:r>
    </w:p>
    <w:p w14:paraId="01DFAA1F" w14:textId="77777777" w:rsidR="005C1ED8" w:rsidRPr="00437CA9" w:rsidRDefault="005C1ED8">
      <w:pPr>
        <w:pStyle w:val="Heading7"/>
        <w:rPr>
          <w:rFonts w:ascii="TyponineSans Reg" w:hAnsi="TyponineSans Reg"/>
          <w:b w:val="0"/>
          <w:i w:val="0"/>
          <w:sz w:val="36"/>
          <w:szCs w:val="36"/>
        </w:rPr>
      </w:pPr>
      <w:r w:rsidRPr="00437CA9">
        <w:rPr>
          <w:rFonts w:ascii="TyponineSans Reg" w:hAnsi="TyponineSans Reg"/>
          <w:b w:val="0"/>
          <w:i w:val="0"/>
          <w:sz w:val="36"/>
          <w:szCs w:val="36"/>
        </w:rPr>
        <w:t>Javne ustanove Nacionalni park Brijuni</w:t>
      </w:r>
    </w:p>
    <w:p w14:paraId="7C8E28D2" w14:textId="77777777" w:rsidR="005C1ED8" w:rsidRPr="00437CA9" w:rsidRDefault="005C1ED8">
      <w:pPr>
        <w:jc w:val="center"/>
        <w:rPr>
          <w:rFonts w:ascii="TyponineSans Reg" w:hAnsi="TyponineSans Reg"/>
          <w:sz w:val="36"/>
          <w:szCs w:val="36"/>
        </w:rPr>
      </w:pPr>
    </w:p>
    <w:p w14:paraId="74C0FE05" w14:textId="2D56CEF4" w:rsidR="005C1ED8" w:rsidRPr="00437CA9" w:rsidRDefault="005C1ED8">
      <w:pPr>
        <w:pStyle w:val="Heading1"/>
        <w:rPr>
          <w:rFonts w:ascii="TyponineSans Reg" w:hAnsi="TyponineSans Reg"/>
          <w:b w:val="0"/>
          <w:sz w:val="36"/>
          <w:szCs w:val="36"/>
        </w:rPr>
      </w:pPr>
      <w:r w:rsidRPr="00437CA9">
        <w:rPr>
          <w:rFonts w:ascii="TyponineSans Reg" w:hAnsi="TyponineSans Reg"/>
          <w:b w:val="0"/>
          <w:sz w:val="36"/>
          <w:szCs w:val="36"/>
        </w:rPr>
        <w:t xml:space="preserve">za </w:t>
      </w:r>
      <w:r w:rsidR="005C17F0" w:rsidRPr="00437CA9">
        <w:rPr>
          <w:rFonts w:ascii="TyponineSans Reg" w:hAnsi="TyponineSans Reg"/>
          <w:b w:val="0"/>
          <w:sz w:val="36"/>
          <w:szCs w:val="36"/>
        </w:rPr>
        <w:t>razdoblje od 01</w:t>
      </w:r>
      <w:r w:rsidR="003A6816" w:rsidRPr="00437CA9">
        <w:rPr>
          <w:rFonts w:ascii="TyponineSans Reg" w:hAnsi="TyponineSans Reg"/>
          <w:b w:val="0"/>
          <w:sz w:val="36"/>
          <w:szCs w:val="36"/>
        </w:rPr>
        <w:t>. siječnja – 31</w:t>
      </w:r>
      <w:r w:rsidR="00106FC4" w:rsidRPr="00437CA9">
        <w:rPr>
          <w:rFonts w:ascii="TyponineSans Reg" w:hAnsi="TyponineSans Reg"/>
          <w:b w:val="0"/>
          <w:sz w:val="36"/>
          <w:szCs w:val="36"/>
        </w:rPr>
        <w:t xml:space="preserve">. </w:t>
      </w:r>
      <w:r w:rsidR="003A6816" w:rsidRPr="00437CA9">
        <w:rPr>
          <w:rFonts w:ascii="TyponineSans Reg" w:hAnsi="TyponineSans Reg"/>
          <w:b w:val="0"/>
          <w:sz w:val="36"/>
          <w:szCs w:val="36"/>
        </w:rPr>
        <w:t>prosinca</w:t>
      </w:r>
      <w:r w:rsidR="00106FC4" w:rsidRPr="00437CA9">
        <w:rPr>
          <w:rFonts w:ascii="TyponineSans Reg" w:hAnsi="TyponineSans Reg"/>
          <w:b w:val="0"/>
          <w:sz w:val="36"/>
          <w:szCs w:val="36"/>
        </w:rPr>
        <w:t xml:space="preserve"> </w:t>
      </w:r>
      <w:r w:rsidR="003A30DC" w:rsidRPr="00437CA9">
        <w:rPr>
          <w:rFonts w:ascii="TyponineSans Reg" w:hAnsi="TyponineSans Reg"/>
          <w:b w:val="0"/>
          <w:sz w:val="36"/>
          <w:szCs w:val="36"/>
        </w:rPr>
        <w:t>20</w:t>
      </w:r>
      <w:r w:rsidR="00E85B59" w:rsidRPr="00437CA9">
        <w:rPr>
          <w:rFonts w:ascii="TyponineSans Reg" w:hAnsi="TyponineSans Reg"/>
          <w:b w:val="0"/>
          <w:sz w:val="36"/>
          <w:szCs w:val="36"/>
        </w:rPr>
        <w:t>2</w:t>
      </w:r>
      <w:r w:rsidR="00437CA9" w:rsidRPr="00437CA9">
        <w:rPr>
          <w:rFonts w:ascii="TyponineSans Reg" w:hAnsi="TyponineSans Reg"/>
          <w:b w:val="0"/>
          <w:sz w:val="36"/>
          <w:szCs w:val="36"/>
        </w:rPr>
        <w:t>1</w:t>
      </w:r>
      <w:r w:rsidR="005C17F0" w:rsidRPr="00437CA9">
        <w:rPr>
          <w:rFonts w:ascii="TyponineSans Reg" w:hAnsi="TyponineSans Reg"/>
          <w:b w:val="0"/>
          <w:sz w:val="36"/>
          <w:szCs w:val="36"/>
        </w:rPr>
        <w:t>. godine</w:t>
      </w:r>
    </w:p>
    <w:p w14:paraId="2ADDEECB" w14:textId="77777777" w:rsidR="005C17F0" w:rsidRPr="00437CA9" w:rsidRDefault="005C17F0" w:rsidP="005C17F0">
      <w:pPr>
        <w:rPr>
          <w:rFonts w:ascii="TyponineSans Reg" w:hAnsi="TyponineSans Reg"/>
        </w:rPr>
      </w:pPr>
    </w:p>
    <w:p w14:paraId="1F1EA7A8" w14:textId="77777777" w:rsidR="005C1ED8" w:rsidRPr="00437CA9" w:rsidRDefault="005C1ED8">
      <w:pPr>
        <w:rPr>
          <w:rFonts w:ascii="TyponineSans Reg" w:hAnsi="TyponineSans Reg"/>
          <w:sz w:val="24"/>
        </w:rPr>
      </w:pPr>
    </w:p>
    <w:p w14:paraId="76129D90" w14:textId="77777777" w:rsidR="005C1ED8" w:rsidRPr="00437CA9" w:rsidRDefault="005C1ED8">
      <w:pPr>
        <w:rPr>
          <w:rFonts w:ascii="TyponineSans Reg" w:hAnsi="TyponineSans Reg"/>
          <w:sz w:val="24"/>
        </w:rPr>
      </w:pPr>
    </w:p>
    <w:p w14:paraId="43338CBB" w14:textId="77777777" w:rsidR="005C1ED8" w:rsidRPr="00437CA9" w:rsidRDefault="005C1ED8">
      <w:pPr>
        <w:rPr>
          <w:rFonts w:ascii="TyponineSans Reg" w:hAnsi="TyponineSans Reg"/>
          <w:sz w:val="24"/>
        </w:rPr>
      </w:pPr>
    </w:p>
    <w:p w14:paraId="2BAABFAC" w14:textId="77777777" w:rsidR="005C1ED8" w:rsidRPr="00437CA9" w:rsidRDefault="005C1ED8">
      <w:pPr>
        <w:rPr>
          <w:rFonts w:ascii="TyponineSans Reg" w:hAnsi="TyponineSans Reg"/>
          <w:sz w:val="24"/>
        </w:rPr>
      </w:pPr>
    </w:p>
    <w:p w14:paraId="5087E5E0" w14:textId="77777777" w:rsidR="005C1ED8" w:rsidRPr="00437CA9" w:rsidRDefault="005C1ED8">
      <w:pPr>
        <w:rPr>
          <w:rFonts w:ascii="TyponineSans Reg" w:hAnsi="TyponineSans Reg"/>
          <w:sz w:val="24"/>
        </w:rPr>
      </w:pPr>
    </w:p>
    <w:p w14:paraId="088AABA7" w14:textId="77777777" w:rsidR="005C1ED8" w:rsidRPr="00437CA9" w:rsidRDefault="005C1ED8">
      <w:pPr>
        <w:rPr>
          <w:rFonts w:ascii="TyponineSans Reg" w:hAnsi="TyponineSans Reg"/>
          <w:sz w:val="24"/>
        </w:rPr>
      </w:pPr>
    </w:p>
    <w:p w14:paraId="4AE7E103" w14:textId="77777777" w:rsidR="005C17F0" w:rsidRPr="00437CA9" w:rsidRDefault="005C17F0">
      <w:pPr>
        <w:rPr>
          <w:rFonts w:ascii="TyponineSans Reg" w:hAnsi="TyponineSans Reg"/>
          <w:sz w:val="24"/>
        </w:rPr>
      </w:pPr>
    </w:p>
    <w:p w14:paraId="3CB00489" w14:textId="77777777" w:rsidR="005C1ED8" w:rsidRPr="00437CA9" w:rsidRDefault="005C1ED8">
      <w:pPr>
        <w:rPr>
          <w:rFonts w:ascii="TyponineSans Reg" w:hAnsi="TyponineSans Reg"/>
          <w:sz w:val="24"/>
        </w:rPr>
      </w:pPr>
    </w:p>
    <w:p w14:paraId="47AACA72" w14:textId="77777777" w:rsidR="005C1ED8" w:rsidRPr="00437CA9" w:rsidRDefault="005C1ED8">
      <w:pPr>
        <w:rPr>
          <w:rFonts w:ascii="TyponineSans Reg" w:hAnsi="TyponineSans Reg"/>
          <w:sz w:val="24"/>
        </w:rPr>
      </w:pPr>
    </w:p>
    <w:p w14:paraId="7E25469C" w14:textId="77777777" w:rsidR="005C1ED8" w:rsidRPr="00437CA9" w:rsidRDefault="005C1ED8">
      <w:pPr>
        <w:rPr>
          <w:rFonts w:ascii="TyponineSans Reg" w:hAnsi="TyponineSans Reg"/>
          <w:sz w:val="24"/>
        </w:rPr>
      </w:pPr>
    </w:p>
    <w:p w14:paraId="7712CEA5" w14:textId="77777777" w:rsidR="005C1ED8" w:rsidRPr="00437CA9" w:rsidRDefault="005C1ED8">
      <w:pPr>
        <w:rPr>
          <w:rFonts w:ascii="TyponineSans Reg" w:hAnsi="TyponineSans Reg"/>
          <w:sz w:val="24"/>
        </w:rPr>
      </w:pPr>
    </w:p>
    <w:p w14:paraId="278E9970" w14:textId="77777777" w:rsidR="005C1ED8" w:rsidRPr="00437CA9" w:rsidRDefault="005C1ED8">
      <w:pPr>
        <w:rPr>
          <w:rFonts w:ascii="TyponineSans Reg" w:hAnsi="TyponineSans Reg"/>
          <w:sz w:val="24"/>
        </w:rPr>
      </w:pPr>
    </w:p>
    <w:p w14:paraId="24A11D27" w14:textId="77777777" w:rsidR="005C1ED8" w:rsidRPr="00437CA9" w:rsidRDefault="005C1ED8">
      <w:pPr>
        <w:rPr>
          <w:rFonts w:ascii="TyponineSans Reg" w:hAnsi="TyponineSans Reg"/>
          <w:sz w:val="24"/>
        </w:rPr>
      </w:pPr>
    </w:p>
    <w:p w14:paraId="53E8353D" w14:textId="77777777" w:rsidR="005C1ED8" w:rsidRPr="00437CA9" w:rsidRDefault="005C1ED8">
      <w:pPr>
        <w:rPr>
          <w:rFonts w:ascii="TyponineSans Reg" w:hAnsi="TyponineSans Reg"/>
          <w:sz w:val="24"/>
        </w:rPr>
      </w:pPr>
    </w:p>
    <w:p w14:paraId="0E4F375C" w14:textId="77777777" w:rsidR="005C1ED8" w:rsidRPr="00437CA9" w:rsidRDefault="005C1ED8">
      <w:pPr>
        <w:jc w:val="center"/>
        <w:rPr>
          <w:rFonts w:ascii="TyponineSans Reg" w:hAnsi="TyponineSans Reg"/>
          <w:b/>
          <w:sz w:val="24"/>
        </w:rPr>
      </w:pPr>
    </w:p>
    <w:p w14:paraId="100B81DE" w14:textId="77777777" w:rsidR="00116BCC" w:rsidRPr="00437CA9" w:rsidRDefault="00116BCC">
      <w:pPr>
        <w:jc w:val="center"/>
        <w:rPr>
          <w:rFonts w:ascii="TyponineSans Reg" w:hAnsi="TyponineSans Reg"/>
          <w:b/>
          <w:sz w:val="24"/>
        </w:rPr>
      </w:pPr>
    </w:p>
    <w:p w14:paraId="2481D307" w14:textId="77777777" w:rsidR="00116BCC" w:rsidRPr="00437CA9" w:rsidRDefault="00116BCC">
      <w:pPr>
        <w:jc w:val="center"/>
        <w:rPr>
          <w:rFonts w:ascii="TyponineSans Reg" w:hAnsi="TyponineSans Reg"/>
          <w:b/>
          <w:sz w:val="24"/>
        </w:rPr>
      </w:pPr>
    </w:p>
    <w:p w14:paraId="238981EC" w14:textId="77777777" w:rsidR="00116BCC" w:rsidRPr="00437CA9" w:rsidRDefault="00116BCC">
      <w:pPr>
        <w:jc w:val="center"/>
        <w:rPr>
          <w:rFonts w:ascii="TyponineSans Reg" w:hAnsi="TyponineSans Reg"/>
          <w:b/>
          <w:sz w:val="24"/>
        </w:rPr>
      </w:pPr>
    </w:p>
    <w:p w14:paraId="6D49EE0F" w14:textId="77777777" w:rsidR="005C1ED8" w:rsidRPr="00437CA9" w:rsidRDefault="005C1ED8">
      <w:pPr>
        <w:jc w:val="center"/>
        <w:rPr>
          <w:rFonts w:ascii="TyponineSans Reg" w:hAnsi="TyponineSans Reg"/>
          <w:b/>
          <w:sz w:val="24"/>
        </w:rPr>
      </w:pPr>
    </w:p>
    <w:p w14:paraId="257B9F7E" w14:textId="77777777" w:rsidR="005C1ED8" w:rsidRPr="00437CA9" w:rsidRDefault="005C1ED8">
      <w:pPr>
        <w:rPr>
          <w:rFonts w:ascii="TyponineSans Reg" w:hAnsi="TyponineSans Reg"/>
          <w:b/>
          <w:sz w:val="24"/>
        </w:rPr>
      </w:pPr>
    </w:p>
    <w:p w14:paraId="12A27241" w14:textId="0F914CFE" w:rsidR="009761AC" w:rsidRPr="00437CA9" w:rsidRDefault="003A6816" w:rsidP="009761AC">
      <w:pPr>
        <w:jc w:val="center"/>
        <w:rPr>
          <w:rFonts w:ascii="TyponineSans Reg" w:hAnsi="TyponineSans Reg"/>
          <w:sz w:val="24"/>
        </w:rPr>
      </w:pPr>
      <w:r w:rsidRPr="00437CA9">
        <w:rPr>
          <w:rFonts w:ascii="TyponineSans Reg" w:hAnsi="TyponineSans Reg"/>
          <w:sz w:val="24"/>
        </w:rPr>
        <w:t xml:space="preserve">Brijuni, </w:t>
      </w:r>
      <w:r w:rsidR="003A30DC" w:rsidRPr="00437CA9">
        <w:rPr>
          <w:rFonts w:ascii="TyponineSans Reg" w:hAnsi="TyponineSans Reg"/>
          <w:sz w:val="24"/>
        </w:rPr>
        <w:t>siječanj 20</w:t>
      </w:r>
      <w:r w:rsidR="008C5DBF" w:rsidRPr="00437CA9">
        <w:rPr>
          <w:rFonts w:ascii="TyponineSans Reg" w:hAnsi="TyponineSans Reg"/>
          <w:sz w:val="24"/>
        </w:rPr>
        <w:t>2</w:t>
      </w:r>
      <w:r w:rsidR="00437CA9" w:rsidRPr="00437CA9">
        <w:rPr>
          <w:rFonts w:ascii="TyponineSans Reg" w:hAnsi="TyponineSans Reg"/>
          <w:sz w:val="24"/>
        </w:rPr>
        <w:t>2.</w:t>
      </w:r>
    </w:p>
    <w:p w14:paraId="3A29E925" w14:textId="77777777" w:rsidR="00473F5A" w:rsidRPr="00437CA9" w:rsidRDefault="00473F5A" w:rsidP="009761AC">
      <w:pPr>
        <w:rPr>
          <w:rFonts w:ascii="TyponineSans Reg" w:hAnsi="TyponineSans Reg"/>
          <w:sz w:val="24"/>
        </w:rPr>
      </w:pPr>
    </w:p>
    <w:p w14:paraId="7D05D40B" w14:textId="73E7FC4E" w:rsidR="005C1ED8" w:rsidRPr="00437CA9" w:rsidRDefault="00F14B82" w:rsidP="009761AC">
      <w:pPr>
        <w:rPr>
          <w:rFonts w:ascii="TyponineSans Reg" w:hAnsi="TyponineSans Reg"/>
          <w:b/>
          <w:sz w:val="24"/>
        </w:rPr>
      </w:pPr>
      <w:r w:rsidRPr="00437CA9">
        <w:rPr>
          <w:rFonts w:ascii="TyponineSans Reg" w:hAnsi="TyponineSans Reg"/>
          <w:b/>
          <w:sz w:val="24"/>
        </w:rPr>
        <w:t>U V O D</w:t>
      </w:r>
    </w:p>
    <w:p w14:paraId="1F0779F3" w14:textId="77777777" w:rsidR="00473F5A" w:rsidRPr="00437CA9" w:rsidRDefault="00473F5A" w:rsidP="009761AC">
      <w:pPr>
        <w:rPr>
          <w:rFonts w:ascii="TyponineSans Reg" w:hAnsi="TyponineSans Reg"/>
          <w:sz w:val="24"/>
        </w:rPr>
      </w:pPr>
    </w:p>
    <w:p w14:paraId="4C6407FD" w14:textId="61455BDE" w:rsidR="005C1ED8" w:rsidRPr="00437CA9" w:rsidRDefault="005C1ED8">
      <w:pPr>
        <w:jc w:val="both"/>
        <w:rPr>
          <w:rFonts w:ascii="TyponineSans Reg" w:hAnsi="TyponineSans Reg"/>
          <w:b/>
          <w:szCs w:val="22"/>
        </w:rPr>
      </w:pPr>
      <w:r w:rsidRPr="00437CA9">
        <w:rPr>
          <w:rFonts w:ascii="TyponineSans Reg" w:hAnsi="TyponineSans Reg"/>
          <w:szCs w:val="22"/>
        </w:rPr>
        <w:t xml:space="preserve">Javna ustanova Nacionalni park Brijuni osnovana je  s ciljem zaštite, promicanja, održavanja i prezentiranja osobito zaštićenog područja Brijuni, koja uz djelatnost zaštite prirodne i kulturne baštine obavlja i ugostiteljsko-turističku djelatnost i koja je sa svom svojom pokretnom i nepokretnom imovinom u vlasništvu Republike Hrvatske. </w:t>
      </w:r>
    </w:p>
    <w:p w14:paraId="349358CA" w14:textId="77777777" w:rsidR="005C1ED8" w:rsidRPr="00437CA9" w:rsidRDefault="005C1ED8">
      <w:pPr>
        <w:rPr>
          <w:rFonts w:ascii="TyponineSans Reg" w:hAnsi="TyponineSans Reg"/>
          <w:b/>
          <w:szCs w:val="22"/>
        </w:rPr>
      </w:pPr>
    </w:p>
    <w:p w14:paraId="18BC8EFA" w14:textId="77D6583F" w:rsidR="005C1ED8" w:rsidRPr="00437CA9" w:rsidRDefault="005C1ED8">
      <w:pPr>
        <w:jc w:val="both"/>
        <w:rPr>
          <w:rFonts w:ascii="TyponineSans Reg" w:hAnsi="TyponineSans Reg"/>
          <w:szCs w:val="22"/>
        </w:rPr>
      </w:pPr>
      <w:r w:rsidRPr="00437CA9">
        <w:rPr>
          <w:rFonts w:ascii="TyponineSans Reg" w:hAnsi="TyponineSans Reg"/>
          <w:szCs w:val="22"/>
        </w:rPr>
        <w:t>Osnovna djelatnost Ustanove je :</w:t>
      </w:r>
    </w:p>
    <w:p w14:paraId="14C5C086" w14:textId="77777777" w:rsidR="005C1ED8" w:rsidRPr="00437CA9" w:rsidRDefault="005C1ED8">
      <w:pPr>
        <w:numPr>
          <w:ilvl w:val="0"/>
          <w:numId w:val="1"/>
        </w:numPr>
        <w:jc w:val="both"/>
        <w:rPr>
          <w:rFonts w:ascii="TyponineSans Reg" w:hAnsi="TyponineSans Reg"/>
          <w:szCs w:val="22"/>
        </w:rPr>
      </w:pPr>
      <w:r w:rsidRPr="00437CA9">
        <w:rPr>
          <w:rFonts w:ascii="TyponineSans Reg" w:hAnsi="TyponineSans Reg"/>
          <w:szCs w:val="22"/>
        </w:rPr>
        <w:t>djelatnost zaštite, održavanja i promicanja (prezentacija) kulturne i prirodne baštine na području Nacionalnog parka Brijuni, a koja se obavlja i organizira sukladno propisima o zaštiti prirode, o zaštiti spomenika kulture i propisima o muzejskoj djelatnosti,</w:t>
      </w:r>
    </w:p>
    <w:p w14:paraId="017794E6" w14:textId="77777777" w:rsidR="005C1ED8" w:rsidRPr="00437CA9" w:rsidRDefault="005C1ED8">
      <w:pPr>
        <w:numPr>
          <w:ilvl w:val="12"/>
          <w:numId w:val="0"/>
        </w:numPr>
        <w:ind w:left="360" w:hanging="360"/>
        <w:jc w:val="both"/>
        <w:rPr>
          <w:rFonts w:ascii="TyponineSans Reg" w:hAnsi="TyponineSans Reg"/>
          <w:szCs w:val="22"/>
        </w:rPr>
      </w:pPr>
    </w:p>
    <w:p w14:paraId="6397E237" w14:textId="77777777" w:rsidR="005C1ED8" w:rsidRPr="00437CA9" w:rsidRDefault="005C1ED8">
      <w:pPr>
        <w:numPr>
          <w:ilvl w:val="0"/>
          <w:numId w:val="1"/>
        </w:numPr>
        <w:jc w:val="both"/>
        <w:rPr>
          <w:rFonts w:ascii="TyponineSans Reg" w:hAnsi="TyponineSans Reg"/>
          <w:szCs w:val="22"/>
        </w:rPr>
      </w:pPr>
      <w:r w:rsidRPr="00437CA9">
        <w:rPr>
          <w:rFonts w:ascii="TyponineSans Reg" w:hAnsi="TyponineSans Reg"/>
          <w:szCs w:val="22"/>
        </w:rPr>
        <w:t>ugostiteljsko-turistička djelatnost, čiji je krajnji cilj  također u funkciji zaštite  kulturne i prirodne baštine Nacionalnog parka</w:t>
      </w:r>
    </w:p>
    <w:p w14:paraId="2C39604C" w14:textId="77777777" w:rsidR="005C1ED8" w:rsidRPr="00437CA9" w:rsidRDefault="005C1ED8">
      <w:pPr>
        <w:jc w:val="both"/>
        <w:rPr>
          <w:rFonts w:ascii="TyponineSans Reg" w:hAnsi="TyponineSans Reg"/>
          <w:sz w:val="24"/>
        </w:rPr>
      </w:pPr>
    </w:p>
    <w:p w14:paraId="30301967" w14:textId="24DD4838" w:rsidR="00B309A7" w:rsidRPr="00437CA9" w:rsidRDefault="00B22C7A" w:rsidP="00B309A7">
      <w:pPr>
        <w:jc w:val="both"/>
        <w:rPr>
          <w:rFonts w:ascii="TyponineSans Reg" w:hAnsi="TyponineSans Reg"/>
          <w:szCs w:val="22"/>
        </w:rPr>
      </w:pPr>
      <w:r w:rsidRPr="00437CA9">
        <w:rPr>
          <w:rFonts w:ascii="TyponineSans Reg" w:hAnsi="TyponineSans Reg"/>
          <w:szCs w:val="22"/>
        </w:rPr>
        <w:t>Pr</w:t>
      </w:r>
      <w:r w:rsidR="005C1ED8" w:rsidRPr="00437CA9">
        <w:rPr>
          <w:rFonts w:ascii="TyponineSans Reg" w:hAnsi="TyponineSans Reg"/>
          <w:szCs w:val="22"/>
        </w:rPr>
        <w:t xml:space="preserve">imarna neprofitna djelatnost Ustanove </w:t>
      </w:r>
      <w:r w:rsidRPr="00437CA9">
        <w:rPr>
          <w:rFonts w:ascii="TyponineSans Reg" w:hAnsi="TyponineSans Reg"/>
          <w:szCs w:val="22"/>
        </w:rPr>
        <w:t xml:space="preserve">je </w:t>
      </w:r>
      <w:r w:rsidR="005C1ED8" w:rsidRPr="00437CA9">
        <w:rPr>
          <w:rFonts w:ascii="TyponineSans Reg" w:hAnsi="TyponineSans Reg"/>
          <w:szCs w:val="22"/>
        </w:rPr>
        <w:t>zaštitna djelatnost s opredjeljenjem da se pri obavljanju ugostiteljsko-turističke djelatnosti mora poštivati granica opterećenja kapaciteta da se ne bi ugrozile neprocjenjive prirodne, kulturne i povijesne vrijednosti,</w:t>
      </w:r>
      <w:r w:rsidR="003A53D0" w:rsidRPr="00437CA9">
        <w:rPr>
          <w:rFonts w:ascii="TyponineSans Reg" w:hAnsi="TyponineSans Reg"/>
          <w:szCs w:val="22"/>
        </w:rPr>
        <w:t xml:space="preserve"> sve aktivnosti Ustanove u</w:t>
      </w:r>
      <w:r w:rsidR="005827F3" w:rsidRPr="00437CA9">
        <w:rPr>
          <w:rFonts w:ascii="TyponineSans Reg" w:hAnsi="TyponineSans Reg"/>
          <w:szCs w:val="22"/>
        </w:rPr>
        <w:t xml:space="preserve"> razdoblju od siječnja do prosinca</w:t>
      </w:r>
      <w:r w:rsidR="005C1ED8" w:rsidRPr="00437CA9">
        <w:rPr>
          <w:rFonts w:ascii="TyponineSans Reg" w:hAnsi="TyponineSans Reg"/>
          <w:szCs w:val="22"/>
        </w:rPr>
        <w:t xml:space="preserve"> 201</w:t>
      </w:r>
      <w:r w:rsidRPr="00437CA9">
        <w:rPr>
          <w:rFonts w:ascii="TyponineSans Reg" w:hAnsi="TyponineSans Reg"/>
          <w:szCs w:val="22"/>
        </w:rPr>
        <w:t>20</w:t>
      </w:r>
      <w:r w:rsidR="005C1ED8" w:rsidRPr="00437CA9">
        <w:rPr>
          <w:rFonts w:ascii="TyponineSans Reg" w:hAnsi="TyponineSans Reg"/>
          <w:szCs w:val="22"/>
        </w:rPr>
        <w:t>. godine bile su usmjerene ka realizaciji primarnih zadataka zaštite i očuvanja prirodnih</w:t>
      </w:r>
      <w:r w:rsidR="00B309A7" w:rsidRPr="00437CA9">
        <w:rPr>
          <w:rFonts w:ascii="TyponineSans Reg" w:hAnsi="TyponineSans Reg"/>
          <w:szCs w:val="22"/>
        </w:rPr>
        <w:t>, kulturnih i povijesnih dobara sve u skladu s Planom upravljanja i Godišnjim programom zaštite, održavanja i promicanja Nacionalnog parka Brijuni.</w:t>
      </w:r>
    </w:p>
    <w:p w14:paraId="264C3D13" w14:textId="77777777" w:rsidR="005C1ED8" w:rsidRPr="00437CA9" w:rsidRDefault="005C1ED8">
      <w:pPr>
        <w:jc w:val="both"/>
        <w:rPr>
          <w:rFonts w:ascii="TyponineSans Reg" w:hAnsi="TyponineSans Reg"/>
          <w:szCs w:val="22"/>
        </w:rPr>
      </w:pPr>
    </w:p>
    <w:p w14:paraId="55CFBBE5" w14:textId="77777777" w:rsidR="005C1ED8" w:rsidRPr="00437CA9" w:rsidRDefault="005C1ED8">
      <w:pPr>
        <w:jc w:val="both"/>
        <w:rPr>
          <w:rFonts w:ascii="TyponineSans Reg" w:hAnsi="TyponineSans Reg"/>
          <w:szCs w:val="22"/>
        </w:rPr>
      </w:pPr>
      <w:r w:rsidRPr="00437CA9">
        <w:rPr>
          <w:rFonts w:ascii="TyponineSans Reg" w:hAnsi="TyponineSans Reg"/>
          <w:szCs w:val="22"/>
        </w:rPr>
        <w:t>Temeljni oblici ustrojstva i načina rada Ustanove su službe u kojima se obavljaju funkcije procesa rada i poslovanja Ustanove, te ostvaruje zaštita, održavanje i promicanje prirodne i kulturne baštine Nacionalnog parka kao i ugostiteljsko turistička djelatnost i to:</w:t>
      </w:r>
    </w:p>
    <w:p w14:paraId="1D6830A9" w14:textId="77777777" w:rsidR="005C1ED8" w:rsidRPr="00437CA9" w:rsidRDefault="005C1ED8">
      <w:pPr>
        <w:jc w:val="both"/>
        <w:rPr>
          <w:rFonts w:ascii="TyponineSans Reg" w:hAnsi="TyponineSans Reg"/>
          <w:szCs w:val="22"/>
        </w:rPr>
      </w:pPr>
    </w:p>
    <w:p w14:paraId="72D1D022" w14:textId="5A9CB620" w:rsidR="005C1ED8" w:rsidRPr="00437CA9" w:rsidRDefault="005C1ED8" w:rsidP="001C18B4">
      <w:pPr>
        <w:numPr>
          <w:ilvl w:val="0"/>
          <w:numId w:val="2"/>
        </w:numPr>
        <w:jc w:val="both"/>
        <w:rPr>
          <w:rFonts w:ascii="TyponineSans Reg" w:hAnsi="TyponineSans Reg"/>
          <w:b/>
          <w:szCs w:val="22"/>
        </w:rPr>
      </w:pPr>
      <w:r w:rsidRPr="00437CA9">
        <w:rPr>
          <w:rFonts w:ascii="TyponineSans Reg" w:hAnsi="TyponineSans Reg"/>
          <w:b/>
          <w:szCs w:val="22"/>
        </w:rPr>
        <w:t>Ured ravnatelja</w:t>
      </w:r>
    </w:p>
    <w:p w14:paraId="4903C32A" w14:textId="77777777" w:rsidR="00473F5A" w:rsidRPr="00437CA9" w:rsidRDefault="00473F5A" w:rsidP="00473F5A">
      <w:pPr>
        <w:jc w:val="both"/>
        <w:rPr>
          <w:rFonts w:ascii="TyponineSans Reg" w:hAnsi="TyponineSans Reg"/>
          <w:b/>
          <w:szCs w:val="22"/>
        </w:rPr>
      </w:pPr>
    </w:p>
    <w:p w14:paraId="762A9AFD" w14:textId="77777777" w:rsidR="005C1ED8" w:rsidRPr="00437CA9" w:rsidRDefault="005C1ED8" w:rsidP="001C18B4">
      <w:pPr>
        <w:numPr>
          <w:ilvl w:val="0"/>
          <w:numId w:val="2"/>
        </w:numPr>
        <w:jc w:val="both"/>
        <w:rPr>
          <w:rFonts w:ascii="TyponineSans Reg" w:hAnsi="TyponineSans Reg"/>
          <w:b/>
          <w:szCs w:val="22"/>
        </w:rPr>
      </w:pPr>
      <w:r w:rsidRPr="00437CA9">
        <w:rPr>
          <w:rFonts w:ascii="TyponineSans Reg" w:hAnsi="TyponineSans Reg"/>
          <w:b/>
          <w:szCs w:val="22"/>
        </w:rPr>
        <w:t>Služba stručnih poslova zaštite, održavanja, očuvanja i korištenja Nacionalnog parka</w:t>
      </w:r>
    </w:p>
    <w:p w14:paraId="5B88D8D0" w14:textId="77777777" w:rsidR="005C1ED8" w:rsidRPr="00437CA9" w:rsidRDefault="005C1ED8" w:rsidP="001C18B4">
      <w:pPr>
        <w:numPr>
          <w:ilvl w:val="0"/>
          <w:numId w:val="3"/>
        </w:numPr>
        <w:tabs>
          <w:tab w:val="clear" w:pos="360"/>
          <w:tab w:val="num" w:pos="720"/>
        </w:tabs>
        <w:ind w:left="720"/>
        <w:jc w:val="both"/>
        <w:rPr>
          <w:rFonts w:ascii="TyponineSans Reg" w:hAnsi="TyponineSans Reg"/>
          <w:szCs w:val="22"/>
        </w:rPr>
      </w:pPr>
      <w:r w:rsidRPr="00437CA9">
        <w:rPr>
          <w:rFonts w:ascii="TyponineSans Reg" w:hAnsi="TyponineSans Reg"/>
          <w:szCs w:val="22"/>
        </w:rPr>
        <w:t>Pododsjek za zaštitu biljnih vrsta</w:t>
      </w:r>
    </w:p>
    <w:p w14:paraId="2BF29BF9" w14:textId="77777777" w:rsidR="005C1ED8" w:rsidRPr="00437CA9" w:rsidRDefault="005C1ED8" w:rsidP="001C18B4">
      <w:pPr>
        <w:numPr>
          <w:ilvl w:val="0"/>
          <w:numId w:val="3"/>
        </w:numPr>
        <w:tabs>
          <w:tab w:val="clear" w:pos="360"/>
          <w:tab w:val="num" w:pos="720"/>
        </w:tabs>
        <w:ind w:left="720"/>
        <w:jc w:val="both"/>
        <w:rPr>
          <w:rFonts w:ascii="TyponineSans Reg" w:hAnsi="TyponineSans Reg"/>
          <w:szCs w:val="22"/>
        </w:rPr>
      </w:pPr>
      <w:r w:rsidRPr="00437CA9">
        <w:rPr>
          <w:rFonts w:ascii="TyponineSans Reg" w:hAnsi="TyponineSans Reg"/>
          <w:szCs w:val="22"/>
        </w:rPr>
        <w:t>Pododsjek za zaštitu životinjskih vrsta</w:t>
      </w:r>
    </w:p>
    <w:p w14:paraId="30DFD123" w14:textId="3062FE6C" w:rsidR="005C1ED8" w:rsidRPr="00437CA9" w:rsidRDefault="005C1ED8" w:rsidP="00E93731">
      <w:pPr>
        <w:numPr>
          <w:ilvl w:val="0"/>
          <w:numId w:val="3"/>
        </w:numPr>
        <w:tabs>
          <w:tab w:val="clear" w:pos="360"/>
          <w:tab w:val="num" w:pos="720"/>
        </w:tabs>
        <w:ind w:left="720"/>
        <w:jc w:val="both"/>
        <w:rPr>
          <w:rFonts w:ascii="TyponineSans Reg" w:hAnsi="TyponineSans Reg"/>
          <w:b/>
          <w:szCs w:val="22"/>
        </w:rPr>
      </w:pPr>
      <w:r w:rsidRPr="00437CA9">
        <w:rPr>
          <w:rFonts w:ascii="TyponineSans Reg" w:hAnsi="TyponineSans Reg"/>
          <w:szCs w:val="22"/>
        </w:rPr>
        <w:t>Pododsjek za zaštitu kulturnih dobara</w:t>
      </w:r>
    </w:p>
    <w:p w14:paraId="60C738BE" w14:textId="77777777" w:rsidR="00473F5A" w:rsidRPr="00437CA9" w:rsidRDefault="00473F5A" w:rsidP="00473F5A">
      <w:pPr>
        <w:ind w:left="360"/>
        <w:jc w:val="both"/>
        <w:rPr>
          <w:rFonts w:ascii="TyponineSans Reg" w:hAnsi="TyponineSans Reg"/>
          <w:b/>
          <w:szCs w:val="22"/>
        </w:rPr>
      </w:pPr>
    </w:p>
    <w:p w14:paraId="23F599F0" w14:textId="55D8C41D" w:rsidR="00116BCC" w:rsidRPr="00437CA9" w:rsidRDefault="005C1ED8" w:rsidP="00E93731">
      <w:pPr>
        <w:numPr>
          <w:ilvl w:val="0"/>
          <w:numId w:val="4"/>
        </w:numPr>
        <w:jc w:val="both"/>
        <w:rPr>
          <w:rFonts w:ascii="TyponineSans Reg" w:hAnsi="TyponineSans Reg"/>
          <w:b/>
          <w:szCs w:val="22"/>
        </w:rPr>
      </w:pPr>
      <w:r w:rsidRPr="00437CA9">
        <w:rPr>
          <w:rFonts w:ascii="TyponineSans Reg" w:hAnsi="TyponineSans Reg"/>
          <w:b/>
          <w:szCs w:val="22"/>
        </w:rPr>
        <w:t>Služba za nadzor i zaštitu</w:t>
      </w:r>
    </w:p>
    <w:p w14:paraId="77E8665F" w14:textId="77777777" w:rsidR="00473F5A" w:rsidRPr="00437CA9" w:rsidRDefault="00473F5A" w:rsidP="00473F5A">
      <w:pPr>
        <w:jc w:val="both"/>
        <w:rPr>
          <w:rFonts w:ascii="TyponineSans Reg" w:hAnsi="TyponineSans Reg"/>
          <w:b/>
          <w:szCs w:val="22"/>
        </w:rPr>
      </w:pPr>
    </w:p>
    <w:p w14:paraId="201F5997" w14:textId="77777777" w:rsidR="005C1ED8" w:rsidRPr="00437CA9" w:rsidRDefault="005C1ED8" w:rsidP="001C18B4">
      <w:pPr>
        <w:numPr>
          <w:ilvl w:val="0"/>
          <w:numId w:val="4"/>
        </w:numPr>
        <w:jc w:val="both"/>
        <w:rPr>
          <w:rFonts w:ascii="TyponineSans Reg" w:hAnsi="TyponineSans Reg"/>
          <w:b/>
          <w:szCs w:val="22"/>
        </w:rPr>
      </w:pPr>
      <w:r w:rsidRPr="00437CA9">
        <w:rPr>
          <w:rFonts w:ascii="TyponineSans Reg" w:hAnsi="TyponineSans Reg"/>
          <w:b/>
          <w:szCs w:val="22"/>
        </w:rPr>
        <w:t>Služba za ugostiteljsko turističku djelatnost</w:t>
      </w:r>
    </w:p>
    <w:p w14:paraId="6DBCC1AE" w14:textId="77777777" w:rsidR="005C1ED8" w:rsidRPr="00437CA9" w:rsidRDefault="005C1ED8" w:rsidP="001C18B4">
      <w:pPr>
        <w:numPr>
          <w:ilvl w:val="0"/>
          <w:numId w:val="5"/>
        </w:numPr>
        <w:tabs>
          <w:tab w:val="clear" w:pos="360"/>
          <w:tab w:val="num" w:pos="720"/>
        </w:tabs>
        <w:ind w:left="720"/>
        <w:jc w:val="both"/>
        <w:rPr>
          <w:rFonts w:ascii="TyponineSans Reg" w:hAnsi="TyponineSans Reg"/>
          <w:szCs w:val="22"/>
        </w:rPr>
      </w:pPr>
      <w:r w:rsidRPr="00437CA9">
        <w:rPr>
          <w:rFonts w:ascii="TyponineSans Reg" w:hAnsi="TyponineSans Reg"/>
          <w:szCs w:val="22"/>
        </w:rPr>
        <w:t>Pododsjek hotelskog smještaja</w:t>
      </w:r>
    </w:p>
    <w:p w14:paraId="7D5F2984" w14:textId="77777777" w:rsidR="005C1ED8" w:rsidRPr="00437CA9" w:rsidRDefault="005C1ED8" w:rsidP="001C18B4">
      <w:pPr>
        <w:numPr>
          <w:ilvl w:val="0"/>
          <w:numId w:val="5"/>
        </w:numPr>
        <w:tabs>
          <w:tab w:val="clear" w:pos="360"/>
          <w:tab w:val="num" w:pos="720"/>
        </w:tabs>
        <w:ind w:left="720"/>
        <w:jc w:val="both"/>
        <w:rPr>
          <w:rFonts w:ascii="TyponineSans Reg" w:hAnsi="TyponineSans Reg"/>
          <w:szCs w:val="22"/>
        </w:rPr>
      </w:pPr>
      <w:r w:rsidRPr="00437CA9">
        <w:rPr>
          <w:rFonts w:ascii="TyponineSans Reg" w:hAnsi="TyponineSans Reg"/>
          <w:szCs w:val="22"/>
        </w:rPr>
        <w:t>Pododsjek ugostiteljstva</w:t>
      </w:r>
    </w:p>
    <w:p w14:paraId="1C1AA41C" w14:textId="29AC428C" w:rsidR="00116BCC" w:rsidRPr="00437CA9" w:rsidRDefault="005C1ED8" w:rsidP="00E93731">
      <w:pPr>
        <w:numPr>
          <w:ilvl w:val="0"/>
          <w:numId w:val="5"/>
        </w:numPr>
        <w:tabs>
          <w:tab w:val="clear" w:pos="360"/>
          <w:tab w:val="num" w:pos="720"/>
        </w:tabs>
        <w:ind w:left="720"/>
        <w:jc w:val="both"/>
        <w:rPr>
          <w:rFonts w:ascii="TyponineSans Reg" w:hAnsi="TyponineSans Reg"/>
          <w:szCs w:val="22"/>
        </w:rPr>
      </w:pPr>
      <w:r w:rsidRPr="00437CA9">
        <w:rPr>
          <w:rFonts w:ascii="TyponineSans Reg" w:hAnsi="TyponineSans Reg"/>
          <w:szCs w:val="22"/>
        </w:rPr>
        <w:t>Pododsjek za šport i rekreaciju</w:t>
      </w:r>
    </w:p>
    <w:p w14:paraId="5081CE66" w14:textId="77777777" w:rsidR="00473F5A" w:rsidRPr="00437CA9" w:rsidRDefault="00473F5A" w:rsidP="00473F5A">
      <w:pPr>
        <w:ind w:left="360"/>
        <w:jc w:val="both"/>
        <w:rPr>
          <w:rFonts w:ascii="TyponineSans Reg" w:hAnsi="TyponineSans Reg"/>
          <w:szCs w:val="22"/>
        </w:rPr>
      </w:pPr>
    </w:p>
    <w:p w14:paraId="098ACF63" w14:textId="1ED7FB38" w:rsidR="00116BCC" w:rsidRPr="00437CA9" w:rsidRDefault="005C1ED8" w:rsidP="00E93731">
      <w:pPr>
        <w:numPr>
          <w:ilvl w:val="0"/>
          <w:numId w:val="6"/>
        </w:numPr>
        <w:jc w:val="both"/>
        <w:rPr>
          <w:rFonts w:ascii="TyponineSans Reg" w:hAnsi="TyponineSans Reg"/>
          <w:b/>
          <w:szCs w:val="22"/>
        </w:rPr>
      </w:pPr>
      <w:r w:rsidRPr="00437CA9">
        <w:rPr>
          <w:rFonts w:ascii="TyponineSans Reg" w:hAnsi="TyponineSans Reg"/>
          <w:b/>
          <w:szCs w:val="22"/>
        </w:rPr>
        <w:t>Služba za izletnički turizam</w:t>
      </w:r>
    </w:p>
    <w:p w14:paraId="5ECD56DA" w14:textId="77777777" w:rsidR="00473F5A" w:rsidRPr="00437CA9" w:rsidRDefault="00473F5A" w:rsidP="00473F5A">
      <w:pPr>
        <w:jc w:val="both"/>
        <w:rPr>
          <w:rFonts w:ascii="TyponineSans Reg" w:hAnsi="TyponineSans Reg"/>
          <w:b/>
          <w:szCs w:val="22"/>
        </w:rPr>
      </w:pPr>
    </w:p>
    <w:p w14:paraId="7418EEA9" w14:textId="0689DC4A" w:rsidR="00116BCC" w:rsidRPr="00437CA9" w:rsidRDefault="005C1ED8" w:rsidP="00E93731">
      <w:pPr>
        <w:numPr>
          <w:ilvl w:val="0"/>
          <w:numId w:val="6"/>
        </w:numPr>
        <w:jc w:val="both"/>
        <w:rPr>
          <w:rFonts w:ascii="TyponineSans Reg" w:hAnsi="TyponineSans Reg"/>
          <w:b/>
          <w:szCs w:val="22"/>
        </w:rPr>
      </w:pPr>
      <w:r w:rsidRPr="00437CA9">
        <w:rPr>
          <w:rFonts w:ascii="TyponineSans Reg" w:hAnsi="TyponineSans Reg"/>
          <w:b/>
          <w:szCs w:val="22"/>
        </w:rPr>
        <w:t>Služba za promidžbu i prodaju</w:t>
      </w:r>
    </w:p>
    <w:p w14:paraId="0864B919" w14:textId="77777777" w:rsidR="00473F5A" w:rsidRPr="00437CA9" w:rsidRDefault="00473F5A" w:rsidP="00473F5A">
      <w:pPr>
        <w:pStyle w:val="ListParagraph"/>
        <w:rPr>
          <w:rFonts w:ascii="TyponineSans Reg" w:hAnsi="TyponineSans Reg"/>
          <w:b/>
          <w:szCs w:val="22"/>
        </w:rPr>
      </w:pPr>
    </w:p>
    <w:p w14:paraId="7B88BA3C" w14:textId="77777777" w:rsidR="005C1ED8" w:rsidRPr="00437CA9" w:rsidRDefault="005C1ED8" w:rsidP="001C18B4">
      <w:pPr>
        <w:numPr>
          <w:ilvl w:val="0"/>
          <w:numId w:val="6"/>
        </w:numPr>
        <w:jc w:val="both"/>
        <w:rPr>
          <w:rFonts w:ascii="TyponineSans Reg" w:hAnsi="TyponineSans Reg"/>
          <w:b/>
          <w:szCs w:val="22"/>
        </w:rPr>
      </w:pPr>
      <w:r w:rsidRPr="00437CA9">
        <w:rPr>
          <w:rFonts w:ascii="TyponineSans Reg" w:hAnsi="TyponineSans Reg"/>
          <w:b/>
          <w:szCs w:val="22"/>
        </w:rPr>
        <w:t>Služba za financijsko računovodstvene poslove</w:t>
      </w:r>
    </w:p>
    <w:p w14:paraId="475D7EEA" w14:textId="77777777" w:rsidR="005C1ED8" w:rsidRPr="00437CA9" w:rsidRDefault="005C1ED8" w:rsidP="001C18B4">
      <w:pPr>
        <w:numPr>
          <w:ilvl w:val="0"/>
          <w:numId w:val="6"/>
        </w:numPr>
        <w:tabs>
          <w:tab w:val="clear" w:pos="360"/>
          <w:tab w:val="num" w:pos="720"/>
        </w:tabs>
        <w:ind w:left="720"/>
        <w:jc w:val="both"/>
        <w:rPr>
          <w:rFonts w:ascii="TyponineSans Reg" w:hAnsi="TyponineSans Reg"/>
          <w:szCs w:val="22"/>
        </w:rPr>
      </w:pPr>
      <w:r w:rsidRPr="00437CA9">
        <w:rPr>
          <w:rFonts w:ascii="TyponineSans Reg" w:hAnsi="TyponineSans Reg"/>
          <w:szCs w:val="22"/>
        </w:rPr>
        <w:t>Pododsjek za financijsko računovodstvene poslove</w:t>
      </w:r>
    </w:p>
    <w:p w14:paraId="68DABF3B" w14:textId="1B1DA743" w:rsidR="005C1ED8" w:rsidRPr="00437CA9" w:rsidRDefault="005C1ED8" w:rsidP="001C18B4">
      <w:pPr>
        <w:numPr>
          <w:ilvl w:val="0"/>
          <w:numId w:val="6"/>
        </w:numPr>
        <w:tabs>
          <w:tab w:val="clear" w:pos="360"/>
          <w:tab w:val="num" w:pos="720"/>
        </w:tabs>
        <w:ind w:left="720"/>
        <w:jc w:val="both"/>
        <w:rPr>
          <w:rFonts w:ascii="TyponineSans Reg" w:hAnsi="TyponineSans Reg"/>
          <w:szCs w:val="22"/>
        </w:rPr>
      </w:pPr>
      <w:r w:rsidRPr="00437CA9">
        <w:rPr>
          <w:rFonts w:ascii="TyponineSans Reg" w:hAnsi="TyponineSans Reg"/>
          <w:szCs w:val="22"/>
        </w:rPr>
        <w:t>Pododsjek nabave i skladišta</w:t>
      </w:r>
    </w:p>
    <w:p w14:paraId="5BA66B23" w14:textId="1A690797" w:rsidR="00473F5A" w:rsidRPr="00437CA9" w:rsidRDefault="00473F5A" w:rsidP="00473F5A">
      <w:pPr>
        <w:ind w:left="360"/>
        <w:jc w:val="both"/>
        <w:rPr>
          <w:rFonts w:ascii="TyponineSans Reg" w:hAnsi="TyponineSans Reg"/>
          <w:szCs w:val="22"/>
        </w:rPr>
      </w:pPr>
    </w:p>
    <w:p w14:paraId="4A54F895" w14:textId="38D145F8" w:rsidR="00473F5A" w:rsidRPr="00437CA9" w:rsidRDefault="00473F5A" w:rsidP="00473F5A">
      <w:pPr>
        <w:ind w:left="360"/>
        <w:jc w:val="both"/>
        <w:rPr>
          <w:rFonts w:ascii="TyponineSans Reg" w:hAnsi="TyponineSans Reg"/>
          <w:szCs w:val="22"/>
        </w:rPr>
      </w:pPr>
    </w:p>
    <w:p w14:paraId="4F760CC4" w14:textId="7ED49497" w:rsidR="00473F5A" w:rsidRPr="00437CA9" w:rsidRDefault="00473F5A" w:rsidP="00473F5A">
      <w:pPr>
        <w:ind w:left="360"/>
        <w:jc w:val="both"/>
        <w:rPr>
          <w:rFonts w:ascii="TyponineSans Reg" w:hAnsi="TyponineSans Reg"/>
          <w:szCs w:val="22"/>
        </w:rPr>
      </w:pPr>
    </w:p>
    <w:p w14:paraId="3C555972" w14:textId="3155362B" w:rsidR="00473F5A" w:rsidRPr="00437CA9" w:rsidRDefault="00473F5A" w:rsidP="00473F5A">
      <w:pPr>
        <w:ind w:left="360"/>
        <w:jc w:val="both"/>
        <w:rPr>
          <w:rFonts w:ascii="TyponineSans Reg" w:hAnsi="TyponineSans Reg"/>
          <w:szCs w:val="22"/>
        </w:rPr>
      </w:pPr>
    </w:p>
    <w:p w14:paraId="2D0BDB9A" w14:textId="3AF45D77" w:rsidR="00473F5A" w:rsidRPr="00437CA9" w:rsidRDefault="00473F5A" w:rsidP="00473F5A">
      <w:pPr>
        <w:ind w:left="360"/>
        <w:jc w:val="both"/>
        <w:rPr>
          <w:rFonts w:ascii="TyponineSans Reg" w:hAnsi="TyponineSans Reg"/>
          <w:szCs w:val="22"/>
        </w:rPr>
      </w:pPr>
    </w:p>
    <w:p w14:paraId="01D00744" w14:textId="42109D6A" w:rsidR="005C1ED8" w:rsidRPr="00437CA9" w:rsidRDefault="005C1ED8" w:rsidP="00D17CA1">
      <w:pPr>
        <w:pStyle w:val="ListParagraph"/>
        <w:numPr>
          <w:ilvl w:val="0"/>
          <w:numId w:val="43"/>
        </w:numPr>
        <w:jc w:val="both"/>
        <w:rPr>
          <w:rFonts w:ascii="TyponineSans Reg" w:hAnsi="TyponineSans Reg"/>
          <w:b/>
          <w:szCs w:val="22"/>
        </w:rPr>
      </w:pPr>
      <w:r w:rsidRPr="00437CA9">
        <w:rPr>
          <w:rFonts w:ascii="TyponineSans Reg" w:hAnsi="TyponineSans Reg"/>
          <w:b/>
          <w:szCs w:val="22"/>
        </w:rPr>
        <w:t>Služba održavanja i prijevoza</w:t>
      </w:r>
    </w:p>
    <w:p w14:paraId="24B35EC6" w14:textId="77777777" w:rsidR="005C1ED8" w:rsidRPr="00437CA9" w:rsidRDefault="005C1ED8" w:rsidP="00B22C7A">
      <w:pPr>
        <w:numPr>
          <w:ilvl w:val="0"/>
          <w:numId w:val="8"/>
        </w:numPr>
        <w:tabs>
          <w:tab w:val="clear" w:pos="360"/>
          <w:tab w:val="num" w:pos="1080"/>
        </w:tabs>
        <w:ind w:left="1080"/>
        <w:jc w:val="both"/>
        <w:rPr>
          <w:rFonts w:ascii="TyponineSans Reg" w:hAnsi="TyponineSans Reg"/>
          <w:szCs w:val="22"/>
        </w:rPr>
      </w:pPr>
      <w:r w:rsidRPr="00437CA9">
        <w:rPr>
          <w:rFonts w:ascii="TyponineSans Reg" w:hAnsi="TyponineSans Reg"/>
          <w:szCs w:val="22"/>
        </w:rPr>
        <w:t>Pododsjek za održavanje objekata i opreme</w:t>
      </w:r>
    </w:p>
    <w:p w14:paraId="38D3A4F4" w14:textId="3935A8E2" w:rsidR="00473F5A" w:rsidRPr="00437CA9" w:rsidRDefault="005C1ED8" w:rsidP="00E93731">
      <w:pPr>
        <w:numPr>
          <w:ilvl w:val="0"/>
          <w:numId w:val="8"/>
        </w:numPr>
        <w:tabs>
          <w:tab w:val="clear" w:pos="360"/>
          <w:tab w:val="num" w:pos="1080"/>
        </w:tabs>
        <w:ind w:left="1080"/>
        <w:jc w:val="both"/>
        <w:rPr>
          <w:rFonts w:ascii="TyponineSans Reg" w:hAnsi="TyponineSans Reg"/>
          <w:szCs w:val="22"/>
        </w:rPr>
      </w:pPr>
      <w:r w:rsidRPr="00437CA9">
        <w:rPr>
          <w:rFonts w:ascii="TyponineSans Reg" w:hAnsi="TyponineSans Reg"/>
          <w:szCs w:val="22"/>
        </w:rPr>
        <w:t>Pododsjek za interni prijevoz</w:t>
      </w:r>
    </w:p>
    <w:p w14:paraId="389E3364" w14:textId="2323658F" w:rsidR="00116BCC" w:rsidRPr="00437CA9" w:rsidRDefault="005C1ED8" w:rsidP="00473F5A">
      <w:pPr>
        <w:numPr>
          <w:ilvl w:val="0"/>
          <w:numId w:val="8"/>
        </w:numPr>
        <w:tabs>
          <w:tab w:val="clear" w:pos="360"/>
          <w:tab w:val="num" w:pos="1440"/>
        </w:tabs>
        <w:ind w:left="1080"/>
        <w:jc w:val="both"/>
        <w:rPr>
          <w:rFonts w:ascii="TyponineSans Reg" w:hAnsi="TyponineSans Reg"/>
          <w:szCs w:val="22"/>
        </w:rPr>
      </w:pPr>
      <w:r w:rsidRPr="00437CA9">
        <w:rPr>
          <w:rFonts w:ascii="TyponineSans Reg" w:hAnsi="TyponineSans Reg"/>
          <w:szCs w:val="22"/>
        </w:rPr>
        <w:t>Pododsjek za informatiku i telekomunikacije</w:t>
      </w:r>
    </w:p>
    <w:p w14:paraId="1FFBD832" w14:textId="77777777" w:rsidR="00473F5A" w:rsidRPr="00437CA9" w:rsidRDefault="00473F5A" w:rsidP="00473F5A">
      <w:pPr>
        <w:ind w:left="720"/>
        <w:jc w:val="both"/>
        <w:rPr>
          <w:rFonts w:ascii="TyponineSans Reg" w:hAnsi="TyponineSans Reg"/>
          <w:szCs w:val="22"/>
        </w:rPr>
      </w:pPr>
    </w:p>
    <w:p w14:paraId="282653E1" w14:textId="1BA1C750" w:rsidR="005C1ED8" w:rsidRPr="00437CA9" w:rsidRDefault="005C1ED8" w:rsidP="001C18B4">
      <w:pPr>
        <w:numPr>
          <w:ilvl w:val="0"/>
          <w:numId w:val="7"/>
        </w:numPr>
        <w:jc w:val="both"/>
        <w:rPr>
          <w:rFonts w:ascii="TyponineSans Reg" w:hAnsi="TyponineSans Reg"/>
          <w:b/>
          <w:szCs w:val="22"/>
        </w:rPr>
      </w:pPr>
      <w:r w:rsidRPr="00437CA9">
        <w:rPr>
          <w:rFonts w:ascii="TyponineSans Reg" w:hAnsi="TyponineSans Reg"/>
          <w:b/>
          <w:szCs w:val="22"/>
        </w:rPr>
        <w:t>Služba pravnih, kadrovskih i općih poslova</w:t>
      </w:r>
    </w:p>
    <w:p w14:paraId="2868170A" w14:textId="77777777" w:rsidR="00473F5A" w:rsidRPr="00437CA9" w:rsidRDefault="00473F5A" w:rsidP="00473F5A">
      <w:pPr>
        <w:ind w:left="360"/>
        <w:jc w:val="both"/>
        <w:rPr>
          <w:rFonts w:ascii="TyponineSans Reg" w:hAnsi="TyponineSans Reg"/>
          <w:b/>
          <w:szCs w:val="22"/>
        </w:rPr>
      </w:pPr>
    </w:p>
    <w:p w14:paraId="1EB62832" w14:textId="186D4AFF" w:rsidR="00C00C38" w:rsidRPr="00437CA9" w:rsidRDefault="00C00C38" w:rsidP="001C18B4">
      <w:pPr>
        <w:numPr>
          <w:ilvl w:val="0"/>
          <w:numId w:val="7"/>
        </w:numPr>
        <w:jc w:val="both"/>
        <w:rPr>
          <w:rFonts w:ascii="TyponineSans Reg" w:hAnsi="TyponineSans Reg"/>
          <w:b/>
          <w:szCs w:val="22"/>
        </w:rPr>
      </w:pPr>
      <w:r w:rsidRPr="00437CA9">
        <w:rPr>
          <w:rFonts w:ascii="TyponineSans Reg" w:hAnsi="TyponineSans Reg"/>
          <w:b/>
          <w:szCs w:val="22"/>
        </w:rPr>
        <w:t>Služba za pripremu i provedbu projekata</w:t>
      </w:r>
      <w:r w:rsidR="001B0F06">
        <w:rPr>
          <w:rFonts w:ascii="TyponineSans Reg" w:hAnsi="TyponineSans Reg"/>
          <w:b/>
          <w:szCs w:val="22"/>
        </w:rPr>
        <w:t>.</w:t>
      </w:r>
    </w:p>
    <w:p w14:paraId="4D30CC4C" w14:textId="77777777" w:rsidR="005C1ED8" w:rsidRPr="00437CA9" w:rsidRDefault="005C1ED8">
      <w:pPr>
        <w:jc w:val="both"/>
        <w:rPr>
          <w:rFonts w:ascii="TyponineSans Reg" w:hAnsi="TyponineSans Reg"/>
          <w:b/>
          <w:szCs w:val="22"/>
        </w:rPr>
      </w:pPr>
    </w:p>
    <w:p w14:paraId="508EFE4B" w14:textId="77777777" w:rsidR="005C1ED8" w:rsidRPr="00437CA9" w:rsidRDefault="005C1ED8">
      <w:pPr>
        <w:jc w:val="both"/>
        <w:rPr>
          <w:rFonts w:ascii="TyponineSans Reg" w:hAnsi="TyponineSans Reg"/>
          <w:szCs w:val="22"/>
        </w:rPr>
      </w:pPr>
    </w:p>
    <w:p w14:paraId="18BE5479" w14:textId="77777777" w:rsidR="005C1ED8" w:rsidRPr="00437CA9" w:rsidRDefault="005C1ED8">
      <w:pPr>
        <w:jc w:val="both"/>
        <w:rPr>
          <w:rFonts w:ascii="TyponineSans Reg" w:hAnsi="TyponineSans Reg"/>
          <w:szCs w:val="22"/>
        </w:rPr>
      </w:pPr>
    </w:p>
    <w:p w14:paraId="58BB5589" w14:textId="73D832C8" w:rsidR="005C1ED8" w:rsidRPr="00437CA9" w:rsidRDefault="005C1ED8">
      <w:pPr>
        <w:jc w:val="both"/>
        <w:rPr>
          <w:rFonts w:ascii="TyponineSans Reg" w:hAnsi="TyponineSans Reg"/>
          <w:szCs w:val="22"/>
        </w:rPr>
      </w:pPr>
      <w:r w:rsidRPr="00437CA9">
        <w:rPr>
          <w:rFonts w:ascii="TyponineSans Reg" w:hAnsi="TyponineSans Reg"/>
          <w:szCs w:val="22"/>
        </w:rPr>
        <w:t>Pregled ostvarenih rezultata poslovanja Javne ustanove</w:t>
      </w:r>
      <w:r w:rsidR="00850038" w:rsidRPr="00437CA9">
        <w:rPr>
          <w:rFonts w:ascii="TyponineSans Reg" w:hAnsi="TyponineSans Reg"/>
          <w:szCs w:val="22"/>
        </w:rPr>
        <w:t xml:space="preserve"> Nacionalni park Brijuni z</w:t>
      </w:r>
      <w:r w:rsidR="003F4321" w:rsidRPr="00437CA9">
        <w:rPr>
          <w:rFonts w:ascii="TyponineSans Reg" w:hAnsi="TyponineSans Reg"/>
          <w:szCs w:val="22"/>
        </w:rPr>
        <w:t>a razdo</w:t>
      </w:r>
      <w:r w:rsidR="00062EF4" w:rsidRPr="00437CA9">
        <w:rPr>
          <w:rFonts w:ascii="TyponineSans Reg" w:hAnsi="TyponineSans Reg"/>
          <w:szCs w:val="22"/>
        </w:rPr>
        <w:t>b</w:t>
      </w:r>
      <w:r w:rsidR="003F4321" w:rsidRPr="00437CA9">
        <w:rPr>
          <w:rFonts w:ascii="TyponineSans Reg" w:hAnsi="TyponineSans Reg"/>
          <w:szCs w:val="22"/>
        </w:rPr>
        <w:t>lje od siječnja do prosinca</w:t>
      </w:r>
      <w:r w:rsidRPr="00437CA9">
        <w:rPr>
          <w:rFonts w:ascii="TyponineSans Reg" w:hAnsi="TyponineSans Reg"/>
          <w:szCs w:val="22"/>
        </w:rPr>
        <w:t xml:space="preserve"> 20</w:t>
      </w:r>
      <w:r w:rsidR="00530F32" w:rsidRPr="00437CA9">
        <w:rPr>
          <w:rFonts w:ascii="TyponineSans Reg" w:hAnsi="TyponineSans Reg"/>
          <w:szCs w:val="22"/>
        </w:rPr>
        <w:t>2</w:t>
      </w:r>
      <w:r w:rsidR="00437CA9" w:rsidRPr="00437CA9">
        <w:rPr>
          <w:rFonts w:ascii="TyponineSans Reg" w:hAnsi="TyponineSans Reg"/>
          <w:szCs w:val="22"/>
        </w:rPr>
        <w:t>1</w:t>
      </w:r>
      <w:r w:rsidRPr="00437CA9">
        <w:rPr>
          <w:rFonts w:ascii="TyponineSans Reg" w:hAnsi="TyponineSans Reg"/>
          <w:szCs w:val="22"/>
        </w:rPr>
        <w:t xml:space="preserve">. godine iskazan je u nastavku  Bilješki uz financijske izvještaje. </w:t>
      </w:r>
    </w:p>
    <w:p w14:paraId="25CD4FB9" w14:textId="77777777" w:rsidR="005C1ED8" w:rsidRPr="00437CA9" w:rsidRDefault="005C1ED8">
      <w:pPr>
        <w:jc w:val="both"/>
        <w:rPr>
          <w:rFonts w:ascii="TyponineSans Reg" w:hAnsi="TyponineSans Reg"/>
          <w:color w:val="FF0000"/>
          <w:szCs w:val="22"/>
        </w:rPr>
      </w:pPr>
    </w:p>
    <w:p w14:paraId="507835B6" w14:textId="77777777" w:rsidR="005C1ED8" w:rsidRPr="00437CA9" w:rsidRDefault="005C1ED8">
      <w:pPr>
        <w:jc w:val="both"/>
        <w:rPr>
          <w:rFonts w:ascii="TyponineSans Reg" w:hAnsi="TyponineSans Reg"/>
          <w:color w:val="FF0000"/>
          <w:szCs w:val="22"/>
        </w:rPr>
      </w:pPr>
    </w:p>
    <w:p w14:paraId="2EB1683A" w14:textId="77777777" w:rsidR="005C1ED8" w:rsidRPr="00437CA9" w:rsidRDefault="005C1ED8">
      <w:pPr>
        <w:jc w:val="both"/>
        <w:rPr>
          <w:rFonts w:ascii="TyponineSans Reg" w:hAnsi="TyponineSans Reg"/>
          <w:color w:val="FF0000"/>
          <w:sz w:val="24"/>
        </w:rPr>
      </w:pPr>
    </w:p>
    <w:p w14:paraId="66F83C21" w14:textId="2020CCEA" w:rsidR="005C1ED8" w:rsidRPr="00437CA9" w:rsidRDefault="005C1ED8">
      <w:pPr>
        <w:jc w:val="both"/>
        <w:rPr>
          <w:rFonts w:ascii="TyponineSans Reg" w:hAnsi="TyponineSans Reg"/>
          <w:color w:val="FF0000"/>
          <w:sz w:val="24"/>
        </w:rPr>
      </w:pPr>
    </w:p>
    <w:p w14:paraId="2561E415" w14:textId="3777C083" w:rsidR="00D17CA1" w:rsidRPr="00437CA9" w:rsidRDefault="00D17CA1">
      <w:pPr>
        <w:jc w:val="both"/>
        <w:rPr>
          <w:rFonts w:ascii="TyponineSans Reg" w:hAnsi="TyponineSans Reg"/>
          <w:color w:val="FF0000"/>
          <w:sz w:val="24"/>
        </w:rPr>
      </w:pPr>
    </w:p>
    <w:p w14:paraId="082134FD" w14:textId="7CFA87C0" w:rsidR="00D17CA1" w:rsidRPr="00437CA9" w:rsidRDefault="00D17CA1">
      <w:pPr>
        <w:jc w:val="both"/>
        <w:rPr>
          <w:rFonts w:ascii="TyponineSans Reg" w:hAnsi="TyponineSans Reg"/>
          <w:color w:val="FF0000"/>
          <w:sz w:val="24"/>
        </w:rPr>
      </w:pPr>
    </w:p>
    <w:p w14:paraId="3236D9A5" w14:textId="7D486362" w:rsidR="00D17CA1" w:rsidRPr="00437CA9" w:rsidRDefault="00D17CA1">
      <w:pPr>
        <w:jc w:val="both"/>
        <w:rPr>
          <w:rFonts w:ascii="TyponineSans Reg" w:hAnsi="TyponineSans Reg"/>
          <w:color w:val="FF0000"/>
          <w:sz w:val="24"/>
        </w:rPr>
      </w:pPr>
    </w:p>
    <w:p w14:paraId="5D199BA3" w14:textId="3A74B1EE" w:rsidR="00D17CA1" w:rsidRPr="00437CA9" w:rsidRDefault="00D17CA1">
      <w:pPr>
        <w:jc w:val="both"/>
        <w:rPr>
          <w:rFonts w:ascii="TyponineSans Reg" w:hAnsi="TyponineSans Reg"/>
          <w:color w:val="FF0000"/>
          <w:sz w:val="24"/>
        </w:rPr>
      </w:pPr>
    </w:p>
    <w:p w14:paraId="29DAB8A6" w14:textId="46EA9331" w:rsidR="00D17CA1" w:rsidRPr="00437CA9" w:rsidRDefault="00D17CA1">
      <w:pPr>
        <w:jc w:val="both"/>
        <w:rPr>
          <w:rFonts w:ascii="TyponineSans Reg" w:hAnsi="TyponineSans Reg"/>
          <w:color w:val="FF0000"/>
          <w:sz w:val="24"/>
        </w:rPr>
      </w:pPr>
    </w:p>
    <w:p w14:paraId="301DA54E" w14:textId="7C5B6764" w:rsidR="00D17CA1" w:rsidRPr="00437CA9" w:rsidRDefault="00D17CA1">
      <w:pPr>
        <w:jc w:val="both"/>
        <w:rPr>
          <w:rFonts w:ascii="TyponineSans Reg" w:hAnsi="TyponineSans Reg"/>
          <w:color w:val="FF0000"/>
          <w:sz w:val="24"/>
        </w:rPr>
      </w:pPr>
    </w:p>
    <w:p w14:paraId="599A6129" w14:textId="128E4939" w:rsidR="00D17CA1" w:rsidRPr="00437CA9" w:rsidRDefault="00D17CA1">
      <w:pPr>
        <w:jc w:val="both"/>
        <w:rPr>
          <w:rFonts w:ascii="TyponineSans Reg" w:hAnsi="TyponineSans Reg"/>
          <w:color w:val="FF0000"/>
          <w:sz w:val="24"/>
        </w:rPr>
      </w:pPr>
    </w:p>
    <w:p w14:paraId="779BD5B0" w14:textId="3061B3CE" w:rsidR="00D17CA1" w:rsidRPr="00437CA9" w:rsidRDefault="00D17CA1">
      <w:pPr>
        <w:jc w:val="both"/>
        <w:rPr>
          <w:rFonts w:ascii="TyponineSans Reg" w:hAnsi="TyponineSans Reg"/>
          <w:color w:val="FF0000"/>
          <w:sz w:val="24"/>
        </w:rPr>
      </w:pPr>
    </w:p>
    <w:p w14:paraId="2F3BAAD9" w14:textId="77777777" w:rsidR="00D17CA1" w:rsidRPr="00437CA9" w:rsidRDefault="00D17CA1">
      <w:pPr>
        <w:jc w:val="both"/>
        <w:rPr>
          <w:rFonts w:ascii="TyponineSans Reg" w:hAnsi="TyponineSans Reg"/>
          <w:color w:val="FF0000"/>
          <w:sz w:val="24"/>
        </w:rPr>
      </w:pPr>
    </w:p>
    <w:p w14:paraId="5C27ADA1" w14:textId="77777777" w:rsidR="005C1ED8" w:rsidRPr="00437CA9" w:rsidRDefault="005C1ED8">
      <w:pPr>
        <w:jc w:val="both"/>
        <w:rPr>
          <w:rFonts w:ascii="TyponineSans Reg" w:hAnsi="TyponineSans Reg"/>
          <w:color w:val="FF0000"/>
          <w:sz w:val="24"/>
        </w:rPr>
      </w:pPr>
    </w:p>
    <w:p w14:paraId="793CEC0D" w14:textId="77777777" w:rsidR="00035468" w:rsidRPr="00437CA9" w:rsidRDefault="00035468">
      <w:pPr>
        <w:jc w:val="both"/>
        <w:rPr>
          <w:rFonts w:ascii="TyponineSans Reg" w:hAnsi="TyponineSans Reg"/>
          <w:color w:val="FF0000"/>
          <w:sz w:val="24"/>
        </w:rPr>
      </w:pPr>
    </w:p>
    <w:p w14:paraId="3138A483" w14:textId="77777777" w:rsidR="00035468" w:rsidRPr="00437CA9" w:rsidRDefault="00035468">
      <w:pPr>
        <w:jc w:val="both"/>
        <w:rPr>
          <w:rFonts w:ascii="TyponineSans Reg" w:hAnsi="TyponineSans Reg"/>
          <w:color w:val="FF0000"/>
          <w:sz w:val="24"/>
        </w:rPr>
      </w:pPr>
    </w:p>
    <w:p w14:paraId="650BFDBE" w14:textId="77777777" w:rsidR="00035468" w:rsidRPr="00437CA9" w:rsidRDefault="00035468">
      <w:pPr>
        <w:jc w:val="both"/>
        <w:rPr>
          <w:rFonts w:ascii="TyponineSans Reg" w:hAnsi="TyponineSans Reg"/>
          <w:color w:val="FF0000"/>
          <w:sz w:val="24"/>
        </w:rPr>
      </w:pPr>
    </w:p>
    <w:p w14:paraId="18125F28" w14:textId="77777777" w:rsidR="00035468" w:rsidRPr="00437CA9" w:rsidRDefault="00035468">
      <w:pPr>
        <w:jc w:val="both"/>
        <w:rPr>
          <w:rFonts w:ascii="TyponineSans Reg" w:hAnsi="TyponineSans Reg"/>
          <w:color w:val="FF0000"/>
          <w:sz w:val="24"/>
        </w:rPr>
      </w:pPr>
    </w:p>
    <w:p w14:paraId="13D9420C" w14:textId="77777777" w:rsidR="00035468" w:rsidRPr="00437CA9" w:rsidRDefault="00035468">
      <w:pPr>
        <w:jc w:val="both"/>
        <w:rPr>
          <w:rFonts w:ascii="TyponineSans Reg" w:hAnsi="TyponineSans Reg"/>
          <w:color w:val="FF0000"/>
          <w:sz w:val="24"/>
        </w:rPr>
      </w:pPr>
    </w:p>
    <w:p w14:paraId="10C788E6" w14:textId="77777777" w:rsidR="00035468" w:rsidRPr="00437CA9" w:rsidRDefault="00035468">
      <w:pPr>
        <w:jc w:val="both"/>
        <w:rPr>
          <w:rFonts w:ascii="TyponineSans Reg" w:hAnsi="TyponineSans Reg"/>
          <w:color w:val="FF0000"/>
          <w:sz w:val="24"/>
        </w:rPr>
      </w:pPr>
    </w:p>
    <w:p w14:paraId="51DB9E6B" w14:textId="77777777" w:rsidR="00035468" w:rsidRPr="00437CA9" w:rsidRDefault="00035468">
      <w:pPr>
        <w:jc w:val="both"/>
        <w:rPr>
          <w:rFonts w:ascii="TyponineSans Reg" w:hAnsi="TyponineSans Reg"/>
          <w:color w:val="FF0000"/>
          <w:sz w:val="24"/>
        </w:rPr>
      </w:pPr>
    </w:p>
    <w:p w14:paraId="715957EB" w14:textId="77777777" w:rsidR="00035468" w:rsidRPr="00437CA9" w:rsidRDefault="00035468">
      <w:pPr>
        <w:jc w:val="both"/>
        <w:rPr>
          <w:rFonts w:ascii="TyponineSans Reg" w:hAnsi="TyponineSans Reg"/>
          <w:color w:val="FF0000"/>
          <w:sz w:val="24"/>
        </w:rPr>
      </w:pPr>
    </w:p>
    <w:p w14:paraId="0B8EC58A" w14:textId="71B396DE" w:rsidR="00F14B82" w:rsidRPr="00437CA9" w:rsidRDefault="00F14B82" w:rsidP="000E5B7A">
      <w:pPr>
        <w:rPr>
          <w:rFonts w:ascii="TyponineSans Reg" w:hAnsi="TyponineSans Reg"/>
          <w:color w:val="FF0000"/>
          <w:sz w:val="24"/>
        </w:rPr>
      </w:pPr>
    </w:p>
    <w:p w14:paraId="11AFA4A8" w14:textId="1A4C8AFD" w:rsidR="00B22C7A" w:rsidRPr="00437CA9" w:rsidRDefault="00B22C7A" w:rsidP="000E5B7A">
      <w:pPr>
        <w:rPr>
          <w:rFonts w:ascii="TyponineSans Reg" w:hAnsi="TyponineSans Reg"/>
          <w:color w:val="FF0000"/>
          <w:sz w:val="24"/>
        </w:rPr>
      </w:pPr>
    </w:p>
    <w:p w14:paraId="057CCA1B" w14:textId="1F621825" w:rsidR="00B22C7A" w:rsidRPr="00437CA9" w:rsidRDefault="00B22C7A" w:rsidP="000E5B7A">
      <w:pPr>
        <w:rPr>
          <w:rFonts w:ascii="TyponineSans Reg" w:hAnsi="TyponineSans Reg"/>
          <w:color w:val="FF0000"/>
          <w:sz w:val="24"/>
        </w:rPr>
      </w:pPr>
    </w:p>
    <w:p w14:paraId="11450EF9" w14:textId="215C1D88" w:rsidR="00B22C7A" w:rsidRPr="00437CA9" w:rsidRDefault="00B22C7A" w:rsidP="000E5B7A">
      <w:pPr>
        <w:rPr>
          <w:rFonts w:ascii="TyponineSans Reg" w:hAnsi="TyponineSans Reg"/>
          <w:color w:val="FF0000"/>
          <w:sz w:val="24"/>
        </w:rPr>
      </w:pPr>
    </w:p>
    <w:p w14:paraId="65E5B149" w14:textId="37CF3747" w:rsidR="00B22C7A" w:rsidRPr="00437CA9" w:rsidRDefault="00B22C7A" w:rsidP="000E5B7A">
      <w:pPr>
        <w:rPr>
          <w:rFonts w:ascii="TyponineSans Reg" w:hAnsi="TyponineSans Reg"/>
          <w:color w:val="FF0000"/>
          <w:sz w:val="24"/>
        </w:rPr>
      </w:pPr>
    </w:p>
    <w:p w14:paraId="23887F01" w14:textId="467D0588" w:rsidR="00B22C7A" w:rsidRPr="00437CA9" w:rsidRDefault="00B22C7A" w:rsidP="000E5B7A">
      <w:pPr>
        <w:rPr>
          <w:rFonts w:ascii="TyponineSans Reg" w:hAnsi="TyponineSans Reg"/>
          <w:color w:val="FF0000"/>
          <w:sz w:val="24"/>
        </w:rPr>
      </w:pPr>
    </w:p>
    <w:p w14:paraId="454A06C7" w14:textId="3C489F58" w:rsidR="00B22C7A" w:rsidRPr="00437CA9" w:rsidRDefault="00B22C7A" w:rsidP="000E5B7A">
      <w:pPr>
        <w:rPr>
          <w:rFonts w:ascii="TyponineSans Reg" w:hAnsi="TyponineSans Reg"/>
          <w:color w:val="FF0000"/>
          <w:sz w:val="24"/>
        </w:rPr>
      </w:pPr>
    </w:p>
    <w:p w14:paraId="4915BC19" w14:textId="61DDEFB6" w:rsidR="00473F5A" w:rsidRPr="00437CA9" w:rsidRDefault="00473F5A" w:rsidP="000E5B7A">
      <w:pPr>
        <w:rPr>
          <w:rFonts w:ascii="TyponineSans Reg" w:hAnsi="TyponineSans Reg"/>
          <w:color w:val="FF0000"/>
          <w:sz w:val="24"/>
        </w:rPr>
      </w:pPr>
    </w:p>
    <w:p w14:paraId="1A41F0C9" w14:textId="6EBF166C" w:rsidR="00473F5A" w:rsidRPr="00437CA9" w:rsidRDefault="00473F5A" w:rsidP="000E5B7A">
      <w:pPr>
        <w:rPr>
          <w:rFonts w:ascii="TyponineSans Reg" w:hAnsi="TyponineSans Reg"/>
          <w:color w:val="FF0000"/>
          <w:sz w:val="24"/>
        </w:rPr>
      </w:pPr>
    </w:p>
    <w:p w14:paraId="33CC3169" w14:textId="77777777" w:rsidR="00473F5A" w:rsidRPr="00437CA9" w:rsidRDefault="00473F5A" w:rsidP="000E5B7A">
      <w:pPr>
        <w:rPr>
          <w:rFonts w:ascii="TyponineSans Reg" w:hAnsi="TyponineSans Reg"/>
          <w:color w:val="FF0000"/>
          <w:sz w:val="24"/>
        </w:rPr>
      </w:pPr>
    </w:p>
    <w:p w14:paraId="53EF7B52" w14:textId="255AD208" w:rsidR="00B22C7A" w:rsidRPr="00437CA9" w:rsidRDefault="00B22C7A" w:rsidP="000E5B7A">
      <w:pPr>
        <w:rPr>
          <w:rFonts w:ascii="TyponineSans Reg" w:hAnsi="TyponineSans Reg"/>
          <w:color w:val="FF0000"/>
          <w:sz w:val="24"/>
        </w:rPr>
      </w:pPr>
    </w:p>
    <w:p w14:paraId="077CB08F" w14:textId="77777777" w:rsidR="00A1592A" w:rsidRDefault="00A1592A">
      <w:pPr>
        <w:jc w:val="center"/>
        <w:rPr>
          <w:rFonts w:ascii="TyponineSans Reg" w:hAnsi="TyponineSans Reg"/>
          <w:b/>
          <w:sz w:val="24"/>
        </w:rPr>
      </w:pPr>
    </w:p>
    <w:p w14:paraId="45425FA6" w14:textId="77777777" w:rsidR="00A1592A" w:rsidRDefault="00A1592A">
      <w:pPr>
        <w:jc w:val="center"/>
        <w:rPr>
          <w:rFonts w:ascii="TyponineSans Reg" w:hAnsi="TyponineSans Reg"/>
          <w:b/>
          <w:sz w:val="24"/>
        </w:rPr>
      </w:pPr>
    </w:p>
    <w:p w14:paraId="562C28E2" w14:textId="77777777" w:rsidR="00A1592A" w:rsidRDefault="00A1592A">
      <w:pPr>
        <w:jc w:val="center"/>
        <w:rPr>
          <w:rFonts w:ascii="TyponineSans Reg" w:hAnsi="TyponineSans Reg"/>
          <w:b/>
          <w:sz w:val="24"/>
        </w:rPr>
      </w:pPr>
    </w:p>
    <w:p w14:paraId="164AB62E" w14:textId="1E5C4E14" w:rsidR="00A1592A" w:rsidRDefault="00A1592A">
      <w:pPr>
        <w:jc w:val="center"/>
        <w:rPr>
          <w:rFonts w:ascii="TyponineSans Reg" w:hAnsi="TyponineSans Reg"/>
          <w:b/>
          <w:sz w:val="24"/>
        </w:rPr>
      </w:pPr>
      <w:r>
        <w:rPr>
          <w:rFonts w:ascii="TyponineSans Reg" w:hAnsi="TyponineSans Reg"/>
          <w:b/>
          <w:sz w:val="24"/>
        </w:rPr>
        <w:t>BILJEŠKE UZ FINANCIJSKE IZVJEŠTAJE</w:t>
      </w:r>
    </w:p>
    <w:p w14:paraId="71C6FDDA" w14:textId="77777777" w:rsidR="00A1592A" w:rsidRDefault="00A1592A">
      <w:pPr>
        <w:jc w:val="center"/>
        <w:rPr>
          <w:rFonts w:ascii="TyponineSans Reg" w:hAnsi="TyponineSans Reg"/>
          <w:b/>
          <w:sz w:val="24"/>
        </w:rPr>
      </w:pPr>
      <w:r>
        <w:rPr>
          <w:rFonts w:ascii="TyponineSans Reg" w:hAnsi="TyponineSans Reg"/>
          <w:b/>
          <w:sz w:val="24"/>
        </w:rPr>
        <w:t xml:space="preserve">JAVNE USTANOVE NACIONALNI PARK BRIJUNI </w:t>
      </w:r>
    </w:p>
    <w:p w14:paraId="6C814BB4" w14:textId="13A9BD11" w:rsidR="005C1ED8" w:rsidRPr="00437CA9" w:rsidRDefault="005C1ED8">
      <w:pPr>
        <w:jc w:val="center"/>
        <w:rPr>
          <w:rFonts w:ascii="TyponineSans Reg" w:hAnsi="TyponineSans Reg"/>
          <w:b/>
          <w:sz w:val="24"/>
        </w:rPr>
      </w:pPr>
      <w:r w:rsidRPr="00437CA9">
        <w:rPr>
          <w:rFonts w:ascii="TyponineSans Reg" w:hAnsi="TyponineSans Reg"/>
          <w:b/>
          <w:sz w:val="24"/>
        </w:rPr>
        <w:t xml:space="preserve">ZA RAZDOBLJE SIJEČANJ - </w:t>
      </w:r>
      <w:r w:rsidR="00953D13" w:rsidRPr="00437CA9">
        <w:rPr>
          <w:rFonts w:ascii="TyponineSans Reg" w:hAnsi="TyponineSans Reg"/>
          <w:b/>
          <w:sz w:val="24"/>
        </w:rPr>
        <w:t>PROSINAC</w:t>
      </w:r>
      <w:r w:rsidRPr="00437CA9">
        <w:rPr>
          <w:rFonts w:ascii="TyponineSans Reg" w:hAnsi="TyponineSans Reg"/>
          <w:b/>
          <w:sz w:val="24"/>
        </w:rPr>
        <w:t xml:space="preserve"> 20</w:t>
      </w:r>
      <w:r w:rsidR="00B22C7A" w:rsidRPr="00437CA9">
        <w:rPr>
          <w:rFonts w:ascii="TyponineSans Reg" w:hAnsi="TyponineSans Reg"/>
          <w:b/>
          <w:sz w:val="24"/>
        </w:rPr>
        <w:t>2</w:t>
      </w:r>
      <w:r w:rsidR="00437CA9" w:rsidRPr="00437CA9">
        <w:rPr>
          <w:rFonts w:ascii="TyponineSans Reg" w:hAnsi="TyponineSans Reg"/>
          <w:b/>
          <w:sz w:val="24"/>
        </w:rPr>
        <w:t>1</w:t>
      </w:r>
      <w:r w:rsidRPr="00437CA9">
        <w:rPr>
          <w:rFonts w:ascii="TyponineSans Reg" w:hAnsi="TyponineSans Reg"/>
          <w:b/>
          <w:sz w:val="24"/>
        </w:rPr>
        <w:t xml:space="preserve">. GODINE </w:t>
      </w:r>
    </w:p>
    <w:p w14:paraId="374238BE" w14:textId="77777777" w:rsidR="005C1ED8" w:rsidRPr="00437CA9" w:rsidRDefault="005C1ED8">
      <w:pPr>
        <w:jc w:val="center"/>
        <w:rPr>
          <w:rFonts w:ascii="TyponineSans Reg" w:hAnsi="TyponineSans Reg"/>
          <w:b/>
          <w:sz w:val="24"/>
        </w:rPr>
      </w:pPr>
    </w:p>
    <w:p w14:paraId="0287B0B6" w14:textId="77777777" w:rsidR="00471FB0" w:rsidRPr="00437CA9" w:rsidRDefault="00471FB0">
      <w:pPr>
        <w:jc w:val="center"/>
        <w:rPr>
          <w:rFonts w:ascii="TyponineSans Reg" w:hAnsi="TyponineSans Reg"/>
          <w:b/>
          <w:sz w:val="24"/>
        </w:rPr>
      </w:pPr>
    </w:p>
    <w:p w14:paraId="1AA5151A" w14:textId="77777777" w:rsidR="00347A12" w:rsidRPr="00437CA9" w:rsidRDefault="00347A12" w:rsidP="00347A12">
      <w:pPr>
        <w:jc w:val="both"/>
        <w:rPr>
          <w:rFonts w:ascii="TyponineSans Reg" w:hAnsi="TyponineSans Reg"/>
          <w:b/>
          <w:sz w:val="24"/>
          <w:szCs w:val="24"/>
        </w:rPr>
      </w:pPr>
      <w:r w:rsidRPr="00437CA9">
        <w:rPr>
          <w:rFonts w:ascii="TyponineSans Reg" w:hAnsi="TyponineSans Reg"/>
          <w:b/>
          <w:sz w:val="24"/>
          <w:szCs w:val="24"/>
          <w:bdr w:val="single" w:sz="4" w:space="0" w:color="auto"/>
        </w:rPr>
        <w:t>Bilješka br. 1.:  Osnova sastavljanja bilješki</w:t>
      </w:r>
    </w:p>
    <w:p w14:paraId="4A27581E" w14:textId="77777777" w:rsidR="00347A12" w:rsidRPr="00437CA9" w:rsidRDefault="00347A12" w:rsidP="00347A12">
      <w:pPr>
        <w:jc w:val="both"/>
        <w:rPr>
          <w:rFonts w:ascii="TyponineSans Reg" w:hAnsi="TyponineSans Reg"/>
          <w:b/>
          <w:sz w:val="24"/>
          <w:szCs w:val="24"/>
        </w:rPr>
      </w:pPr>
    </w:p>
    <w:p w14:paraId="626C5049" w14:textId="3A76E157" w:rsidR="00347A12" w:rsidRPr="00437CA9" w:rsidRDefault="00347A12" w:rsidP="00347A12">
      <w:pPr>
        <w:jc w:val="both"/>
        <w:rPr>
          <w:rFonts w:ascii="TyponineSans Reg" w:hAnsi="TyponineSans Reg"/>
          <w:szCs w:val="22"/>
        </w:rPr>
      </w:pPr>
      <w:r w:rsidRPr="00437CA9">
        <w:rPr>
          <w:rFonts w:ascii="TyponineSans Reg" w:hAnsi="TyponineSans Reg"/>
          <w:szCs w:val="22"/>
        </w:rPr>
        <w:t>Financijski izvještaji Ustanove za razdoblje od siječnja do prosinca 202</w:t>
      </w:r>
      <w:r w:rsidR="00437CA9" w:rsidRPr="00437CA9">
        <w:rPr>
          <w:rFonts w:ascii="TyponineSans Reg" w:hAnsi="TyponineSans Reg"/>
          <w:szCs w:val="22"/>
        </w:rPr>
        <w:t>1</w:t>
      </w:r>
      <w:r w:rsidRPr="00437CA9">
        <w:rPr>
          <w:rFonts w:ascii="TyponineSans Reg" w:hAnsi="TyponineSans Reg"/>
          <w:szCs w:val="22"/>
        </w:rPr>
        <w:t>. godinu sačinjeni su sukladno odredbama Pravilnika o proračunskom računovodstvu i Računskom planu te Pravilnika o financijskom izvještavanju u proračunskom računovodstvu.</w:t>
      </w:r>
    </w:p>
    <w:p w14:paraId="7050F51B" w14:textId="77777777" w:rsidR="00347A12" w:rsidRPr="00437CA9" w:rsidRDefault="00347A12" w:rsidP="00347A12">
      <w:pPr>
        <w:jc w:val="both"/>
        <w:rPr>
          <w:rFonts w:ascii="TyponineSans Reg" w:hAnsi="TyponineSans Reg"/>
          <w:szCs w:val="22"/>
        </w:rPr>
      </w:pPr>
    </w:p>
    <w:p w14:paraId="6CD7FEEC" w14:textId="77777777" w:rsidR="00347A12" w:rsidRPr="00437CA9" w:rsidRDefault="00347A12" w:rsidP="00347A12">
      <w:pPr>
        <w:jc w:val="both"/>
        <w:rPr>
          <w:rFonts w:ascii="TyponineSans Reg" w:hAnsi="TyponineSans Reg"/>
          <w:szCs w:val="22"/>
        </w:rPr>
      </w:pPr>
    </w:p>
    <w:p w14:paraId="355B9627" w14:textId="5706D770" w:rsidR="00347A12" w:rsidRPr="00437CA9" w:rsidRDefault="00347A12" w:rsidP="00347A12">
      <w:pPr>
        <w:jc w:val="both"/>
        <w:rPr>
          <w:rFonts w:ascii="TyponineSans Reg" w:hAnsi="TyponineSans Reg"/>
          <w:b/>
          <w:sz w:val="24"/>
          <w:szCs w:val="24"/>
        </w:rPr>
      </w:pPr>
      <w:r w:rsidRPr="00437CA9">
        <w:rPr>
          <w:rFonts w:ascii="TyponineSans Reg" w:hAnsi="TyponineSans Reg"/>
          <w:b/>
          <w:sz w:val="24"/>
          <w:szCs w:val="24"/>
          <w:bdr w:val="single" w:sz="4" w:space="0" w:color="auto"/>
        </w:rPr>
        <w:t>Bilješka br. 2.:  Bilješke uz Izvještaj o prihodima i rashodima</w:t>
      </w:r>
      <w:r w:rsidRPr="00437CA9">
        <w:rPr>
          <w:rFonts w:ascii="TyponineSans Reg" w:hAnsi="TyponineSans Reg"/>
          <w:b/>
          <w:sz w:val="24"/>
          <w:szCs w:val="24"/>
        </w:rPr>
        <w:t xml:space="preserve"> u 202</w:t>
      </w:r>
      <w:r w:rsidR="00437CA9" w:rsidRPr="00437CA9">
        <w:rPr>
          <w:rFonts w:ascii="TyponineSans Reg" w:hAnsi="TyponineSans Reg"/>
          <w:b/>
          <w:sz w:val="24"/>
          <w:szCs w:val="24"/>
        </w:rPr>
        <w:t>1</w:t>
      </w:r>
      <w:r w:rsidRPr="00437CA9">
        <w:rPr>
          <w:rFonts w:ascii="TyponineSans Reg" w:hAnsi="TyponineSans Reg"/>
          <w:b/>
          <w:sz w:val="24"/>
          <w:szCs w:val="24"/>
        </w:rPr>
        <w:t>. godini</w:t>
      </w:r>
    </w:p>
    <w:p w14:paraId="159C17BC" w14:textId="77777777" w:rsidR="00347A12" w:rsidRPr="00437CA9" w:rsidRDefault="00347A12" w:rsidP="00347A12">
      <w:pPr>
        <w:jc w:val="both"/>
        <w:rPr>
          <w:rFonts w:ascii="TyponineSans Reg" w:hAnsi="TyponineSans Reg"/>
          <w:b/>
          <w:sz w:val="24"/>
          <w:szCs w:val="24"/>
        </w:rPr>
      </w:pPr>
    </w:p>
    <w:p w14:paraId="2047384D" w14:textId="77777777" w:rsidR="00347A12" w:rsidRPr="00A1592A" w:rsidRDefault="00347A12" w:rsidP="00347A12">
      <w:pPr>
        <w:jc w:val="both"/>
        <w:rPr>
          <w:rFonts w:ascii="TyponineSans Reg" w:hAnsi="TyponineSans Reg"/>
          <w:b/>
          <w:sz w:val="24"/>
          <w:szCs w:val="24"/>
        </w:rPr>
      </w:pPr>
      <w:r w:rsidRPr="00A1592A">
        <w:rPr>
          <w:rFonts w:ascii="TyponineSans Reg" w:hAnsi="TyponineSans Reg"/>
          <w:b/>
          <w:sz w:val="24"/>
          <w:szCs w:val="24"/>
        </w:rPr>
        <w:t>Bilješka br. 2.1.  - Prihodi poslovanja</w:t>
      </w:r>
    </w:p>
    <w:p w14:paraId="6747B3DE" w14:textId="77777777" w:rsidR="00347A12" w:rsidRPr="00437CA9" w:rsidRDefault="00347A12" w:rsidP="00347A12">
      <w:pPr>
        <w:jc w:val="both"/>
        <w:rPr>
          <w:rFonts w:ascii="TyponineSans Reg" w:hAnsi="TyponineSans Reg"/>
          <w:szCs w:val="22"/>
        </w:rPr>
      </w:pPr>
    </w:p>
    <w:p w14:paraId="44CC39F1" w14:textId="77777777" w:rsidR="00347A12" w:rsidRPr="00437CA9" w:rsidRDefault="00347A12" w:rsidP="00347A12">
      <w:pPr>
        <w:jc w:val="both"/>
        <w:rPr>
          <w:rFonts w:ascii="TyponineSans Reg" w:hAnsi="TyponineSans Reg"/>
          <w:szCs w:val="22"/>
        </w:rPr>
      </w:pPr>
      <w:r w:rsidRPr="00437CA9">
        <w:rPr>
          <w:rFonts w:ascii="TyponineSans Reg" w:hAnsi="TyponineSans Reg"/>
          <w:szCs w:val="22"/>
        </w:rPr>
        <w:t>U financijskim izvještajima Javne ustanove Nacionalni park Brijuni prihodi poslovanja su, sukladno članku 20. Pravilnika o proračunskom računovodstvu i Računskom planu, priznati temeljem modificiranog načela nastanka događaja u onom izvještajnom razdoblju u kojem su postali raspoloživi i mjerljivi.</w:t>
      </w:r>
    </w:p>
    <w:p w14:paraId="69D7BAC6" w14:textId="77777777" w:rsidR="00347A12" w:rsidRPr="00437CA9" w:rsidRDefault="00347A12" w:rsidP="00347A12">
      <w:pPr>
        <w:jc w:val="both"/>
        <w:rPr>
          <w:rFonts w:ascii="TyponineSans Reg" w:hAnsi="TyponineSans Reg" w:cs="Calibri"/>
          <w:b/>
          <w:szCs w:val="22"/>
        </w:rPr>
      </w:pPr>
    </w:p>
    <w:p w14:paraId="1425312C" w14:textId="5C1BEC58" w:rsidR="00347A12" w:rsidRPr="00437CA9" w:rsidRDefault="00347A12" w:rsidP="00347A12">
      <w:pPr>
        <w:jc w:val="both"/>
        <w:rPr>
          <w:rFonts w:ascii="TyponineSans Reg" w:hAnsi="TyponineSans Reg" w:cs="Calibri"/>
          <w:szCs w:val="22"/>
        </w:rPr>
      </w:pPr>
      <w:r w:rsidRPr="00437CA9">
        <w:rPr>
          <w:rFonts w:ascii="TyponineSans Reg" w:hAnsi="TyponineSans Reg" w:cs="Calibri"/>
          <w:szCs w:val="22"/>
        </w:rPr>
        <w:t>Javna ustanova “Nacionalni park Brijuni” u razdoblju siječanj-prosinac 202</w:t>
      </w:r>
      <w:r w:rsidR="00437CA9">
        <w:rPr>
          <w:rFonts w:ascii="TyponineSans Reg" w:hAnsi="TyponineSans Reg" w:cs="Calibri"/>
          <w:szCs w:val="22"/>
        </w:rPr>
        <w:t>1</w:t>
      </w:r>
      <w:r w:rsidRPr="00437CA9">
        <w:rPr>
          <w:rFonts w:ascii="TyponineSans Reg" w:hAnsi="TyponineSans Reg" w:cs="Calibri"/>
          <w:szCs w:val="22"/>
        </w:rPr>
        <w:t>. godine ostvarila je ukupni prihod</w:t>
      </w:r>
      <w:r w:rsidR="00A46726">
        <w:rPr>
          <w:rFonts w:ascii="TyponineSans Reg" w:hAnsi="TyponineSans Reg" w:cs="Calibri"/>
          <w:szCs w:val="22"/>
        </w:rPr>
        <w:t xml:space="preserve"> u</w:t>
      </w:r>
      <w:r w:rsidRPr="00437CA9">
        <w:rPr>
          <w:rFonts w:ascii="TyponineSans Reg" w:hAnsi="TyponineSans Reg" w:cs="Calibri"/>
          <w:szCs w:val="22"/>
        </w:rPr>
        <w:t xml:space="preserve"> iznosu od </w:t>
      </w:r>
      <w:r w:rsidR="00B95AD7">
        <w:rPr>
          <w:rFonts w:ascii="TyponineSans Reg" w:hAnsi="TyponineSans Reg" w:cs="Calibri"/>
          <w:szCs w:val="22"/>
        </w:rPr>
        <w:t>8</w:t>
      </w:r>
      <w:r w:rsidR="00A46726">
        <w:rPr>
          <w:rFonts w:ascii="TyponineSans Reg" w:hAnsi="TyponineSans Reg" w:cs="Calibri"/>
          <w:szCs w:val="22"/>
        </w:rPr>
        <w:t>9.243.413</w:t>
      </w:r>
      <w:r w:rsidRPr="00437CA9">
        <w:rPr>
          <w:rFonts w:ascii="TyponineSans Reg" w:hAnsi="TyponineSans Reg" w:cs="Calibri"/>
          <w:szCs w:val="22"/>
        </w:rPr>
        <w:t xml:space="preserve"> kn što je za </w:t>
      </w:r>
      <w:r w:rsidR="00A46726">
        <w:rPr>
          <w:rFonts w:ascii="TyponineSans Reg" w:hAnsi="TyponineSans Reg" w:cs="Calibri"/>
          <w:szCs w:val="22"/>
        </w:rPr>
        <w:t>5,17%</w:t>
      </w:r>
      <w:r w:rsidRPr="00437CA9">
        <w:rPr>
          <w:rFonts w:ascii="TyponineSans Reg" w:hAnsi="TyponineSans Reg" w:cs="Calibri"/>
          <w:szCs w:val="22"/>
        </w:rPr>
        <w:t xml:space="preserve"> manje u odnosu na planirane prihode u 202</w:t>
      </w:r>
      <w:r w:rsidR="00A46726">
        <w:rPr>
          <w:rFonts w:ascii="TyponineSans Reg" w:hAnsi="TyponineSans Reg" w:cs="Calibri"/>
          <w:szCs w:val="22"/>
        </w:rPr>
        <w:t>1</w:t>
      </w:r>
      <w:r w:rsidRPr="00437CA9">
        <w:rPr>
          <w:rFonts w:ascii="TyponineSans Reg" w:hAnsi="TyponineSans Reg" w:cs="Calibri"/>
          <w:szCs w:val="22"/>
        </w:rPr>
        <w:t xml:space="preserve">. godini, te je za </w:t>
      </w:r>
      <w:r w:rsidR="00A46726">
        <w:rPr>
          <w:rFonts w:ascii="TyponineSans Reg" w:hAnsi="TyponineSans Reg" w:cs="Calibri"/>
          <w:szCs w:val="22"/>
        </w:rPr>
        <w:t>97,86</w:t>
      </w:r>
      <w:r w:rsidRPr="00437CA9">
        <w:rPr>
          <w:rFonts w:ascii="TyponineSans Reg" w:hAnsi="TyponineSans Reg" w:cs="Calibri"/>
          <w:szCs w:val="22"/>
        </w:rPr>
        <w:t xml:space="preserve">% </w:t>
      </w:r>
      <w:r w:rsidR="00A46726">
        <w:rPr>
          <w:rFonts w:ascii="TyponineSans Reg" w:hAnsi="TyponineSans Reg" w:cs="Calibri"/>
          <w:szCs w:val="22"/>
        </w:rPr>
        <w:t>više</w:t>
      </w:r>
      <w:r w:rsidRPr="00437CA9">
        <w:rPr>
          <w:rFonts w:ascii="TyponineSans Reg" w:hAnsi="TyponineSans Reg" w:cs="Calibri"/>
          <w:szCs w:val="22"/>
        </w:rPr>
        <w:t xml:space="preserve"> od ostvarenih ukupnih prihoda u 20</w:t>
      </w:r>
      <w:r w:rsidR="00A46726">
        <w:rPr>
          <w:rFonts w:ascii="TyponineSans Reg" w:hAnsi="TyponineSans Reg" w:cs="Calibri"/>
          <w:szCs w:val="22"/>
        </w:rPr>
        <w:t>20</w:t>
      </w:r>
      <w:r w:rsidRPr="00437CA9">
        <w:rPr>
          <w:rFonts w:ascii="TyponineSans Reg" w:hAnsi="TyponineSans Reg" w:cs="Calibri"/>
          <w:szCs w:val="22"/>
        </w:rPr>
        <w:t>. godini.</w:t>
      </w:r>
    </w:p>
    <w:p w14:paraId="71DC2665" w14:textId="77777777" w:rsidR="00347A12" w:rsidRPr="00437CA9" w:rsidRDefault="00347A12" w:rsidP="00347A12">
      <w:pPr>
        <w:jc w:val="both"/>
        <w:rPr>
          <w:rFonts w:ascii="TyponineSans Reg" w:hAnsi="TyponineSans Reg"/>
          <w:szCs w:val="22"/>
        </w:rPr>
      </w:pPr>
    </w:p>
    <w:p w14:paraId="66E5CF2F" w14:textId="3F7E8F10" w:rsidR="00347A12" w:rsidRPr="00437CA9" w:rsidRDefault="00347A12" w:rsidP="00347A12">
      <w:pPr>
        <w:jc w:val="both"/>
        <w:rPr>
          <w:rFonts w:ascii="TyponineSans Reg" w:hAnsi="TyponineSans Reg"/>
          <w:szCs w:val="22"/>
        </w:rPr>
      </w:pPr>
      <w:r w:rsidRPr="00437CA9">
        <w:rPr>
          <w:rFonts w:ascii="TyponineSans Reg" w:hAnsi="TyponineSans Reg"/>
          <w:szCs w:val="22"/>
        </w:rPr>
        <w:t>U razdoblju od siječnja do prosinca 202</w:t>
      </w:r>
      <w:r w:rsidR="00A46726">
        <w:rPr>
          <w:rFonts w:ascii="TyponineSans Reg" w:hAnsi="TyponineSans Reg"/>
          <w:szCs w:val="22"/>
        </w:rPr>
        <w:t>1</w:t>
      </w:r>
      <w:r w:rsidRPr="00437CA9">
        <w:rPr>
          <w:rFonts w:ascii="TyponineSans Reg" w:hAnsi="TyponineSans Reg"/>
          <w:szCs w:val="22"/>
        </w:rPr>
        <w:t>. godine Ustanova je ostvarila 4</w:t>
      </w:r>
      <w:r w:rsidR="00A46726">
        <w:rPr>
          <w:rFonts w:ascii="TyponineSans Reg" w:hAnsi="TyponineSans Reg"/>
          <w:szCs w:val="22"/>
        </w:rPr>
        <w:t>88.904.772</w:t>
      </w:r>
      <w:r w:rsidRPr="00437CA9">
        <w:rPr>
          <w:rFonts w:ascii="TyponineSans Reg" w:hAnsi="TyponineSans Reg"/>
          <w:szCs w:val="22"/>
        </w:rPr>
        <w:t xml:space="preserve"> kn prihoda od poslovanja što je za </w:t>
      </w:r>
      <w:r w:rsidR="00A46726">
        <w:rPr>
          <w:rFonts w:ascii="TyponineSans Reg" w:hAnsi="TyponineSans Reg"/>
          <w:szCs w:val="22"/>
        </w:rPr>
        <w:t>5,02</w:t>
      </w:r>
      <w:r w:rsidRPr="00437CA9">
        <w:rPr>
          <w:rFonts w:ascii="TyponineSans Reg" w:hAnsi="TyponineSans Reg"/>
          <w:szCs w:val="22"/>
        </w:rPr>
        <w:t xml:space="preserve">% manje u odnosu na planirana i </w:t>
      </w:r>
      <w:r w:rsidR="00A46726">
        <w:rPr>
          <w:rFonts w:ascii="TyponineSans Reg" w:hAnsi="TyponineSans Reg"/>
          <w:szCs w:val="22"/>
        </w:rPr>
        <w:t>97,56</w:t>
      </w:r>
      <w:r w:rsidRPr="00437CA9">
        <w:rPr>
          <w:rFonts w:ascii="TyponineSans Reg" w:hAnsi="TyponineSans Reg"/>
          <w:szCs w:val="22"/>
        </w:rPr>
        <w:t xml:space="preserve">% </w:t>
      </w:r>
      <w:r w:rsidR="00A46726">
        <w:rPr>
          <w:rFonts w:ascii="TyponineSans Reg" w:hAnsi="TyponineSans Reg"/>
          <w:szCs w:val="22"/>
        </w:rPr>
        <w:t xml:space="preserve">više </w:t>
      </w:r>
      <w:r w:rsidRPr="00437CA9">
        <w:rPr>
          <w:rFonts w:ascii="TyponineSans Reg" w:hAnsi="TyponineSans Reg"/>
          <w:szCs w:val="22"/>
        </w:rPr>
        <w:t>u odnosu na ostvarene u 20</w:t>
      </w:r>
      <w:r w:rsidR="00A46726">
        <w:rPr>
          <w:rFonts w:ascii="TyponineSans Reg" w:hAnsi="TyponineSans Reg"/>
          <w:szCs w:val="22"/>
        </w:rPr>
        <w:t>20</w:t>
      </w:r>
      <w:r w:rsidRPr="00437CA9">
        <w:rPr>
          <w:rFonts w:ascii="TyponineSans Reg" w:hAnsi="TyponineSans Reg"/>
          <w:szCs w:val="22"/>
        </w:rPr>
        <w:t>. godini.  Ostvarena je slijedeća struktura prihoda poslovanja:</w:t>
      </w:r>
    </w:p>
    <w:p w14:paraId="194A2B9F" w14:textId="77777777" w:rsidR="00347A12" w:rsidRPr="00437CA9" w:rsidRDefault="00347A12" w:rsidP="00347A12">
      <w:pPr>
        <w:jc w:val="both"/>
        <w:rPr>
          <w:rFonts w:ascii="TyponineSans Reg" w:hAnsi="TyponineSans Reg"/>
          <w:szCs w:val="22"/>
        </w:rPr>
      </w:pPr>
    </w:p>
    <w:tbl>
      <w:tblPr>
        <w:tblW w:w="9386" w:type="dxa"/>
        <w:tblLook w:val="04A0" w:firstRow="1" w:lastRow="0" w:firstColumn="1" w:lastColumn="0" w:noHBand="0" w:noVBand="1"/>
      </w:tblPr>
      <w:tblGrid>
        <w:gridCol w:w="693"/>
        <w:gridCol w:w="4604"/>
        <w:gridCol w:w="1468"/>
        <w:gridCol w:w="1318"/>
        <w:gridCol w:w="1369"/>
      </w:tblGrid>
      <w:tr w:rsidR="00162E37" w:rsidRPr="00162E37" w14:paraId="6865D40A" w14:textId="77777777" w:rsidTr="00162E37">
        <w:trPr>
          <w:trHeight w:val="315"/>
        </w:trPr>
        <w:tc>
          <w:tcPr>
            <w:tcW w:w="635" w:type="dxa"/>
            <w:tcBorders>
              <w:top w:val="single" w:sz="8" w:space="0" w:color="auto"/>
              <w:left w:val="single" w:sz="8" w:space="0" w:color="auto"/>
              <w:bottom w:val="nil"/>
              <w:right w:val="single" w:sz="4" w:space="0" w:color="auto"/>
            </w:tcBorders>
            <w:shd w:val="clear" w:color="000000" w:fill="E3FFFF"/>
            <w:noWrap/>
            <w:vAlign w:val="center"/>
            <w:hideMark/>
          </w:tcPr>
          <w:p w14:paraId="0EBE8EE1" w14:textId="77777777" w:rsidR="00162E37" w:rsidRPr="00162E37" w:rsidRDefault="00162E37" w:rsidP="00162E37">
            <w:pPr>
              <w:jc w:val="center"/>
              <w:rPr>
                <w:rFonts w:ascii="Arial" w:hAnsi="Arial" w:cs="Arial"/>
                <w:b/>
                <w:bCs/>
                <w:noProof w:val="0"/>
                <w:szCs w:val="22"/>
                <w:lang w:val="en-GB" w:eastAsia="en-GB"/>
              </w:rPr>
            </w:pPr>
            <w:r w:rsidRPr="00162E37">
              <w:rPr>
                <w:rFonts w:ascii="Arial" w:hAnsi="Arial" w:cs="Arial"/>
                <w:b/>
                <w:bCs/>
                <w:noProof w:val="0"/>
                <w:szCs w:val="22"/>
                <w:lang w:val="en-GB" w:eastAsia="en-GB"/>
              </w:rPr>
              <w:t>AOP</w:t>
            </w:r>
          </w:p>
        </w:tc>
        <w:tc>
          <w:tcPr>
            <w:tcW w:w="4604" w:type="dxa"/>
            <w:tcBorders>
              <w:top w:val="single" w:sz="8" w:space="0" w:color="auto"/>
              <w:left w:val="nil"/>
              <w:bottom w:val="nil"/>
              <w:right w:val="single" w:sz="4" w:space="0" w:color="auto"/>
            </w:tcBorders>
            <w:shd w:val="clear" w:color="000000" w:fill="E3FFFF"/>
            <w:noWrap/>
            <w:vAlign w:val="center"/>
            <w:hideMark/>
          </w:tcPr>
          <w:p w14:paraId="3F7C118C" w14:textId="77777777" w:rsidR="00162E37" w:rsidRPr="00162E37" w:rsidRDefault="00162E37" w:rsidP="00162E37">
            <w:pPr>
              <w:jc w:val="center"/>
              <w:rPr>
                <w:rFonts w:ascii="Arial" w:hAnsi="Arial" w:cs="Arial"/>
                <w:b/>
                <w:bCs/>
                <w:noProof w:val="0"/>
                <w:szCs w:val="22"/>
                <w:lang w:val="en-GB" w:eastAsia="en-GB"/>
              </w:rPr>
            </w:pPr>
            <w:proofErr w:type="spellStart"/>
            <w:r w:rsidRPr="00162E37">
              <w:rPr>
                <w:rFonts w:ascii="Arial" w:hAnsi="Arial" w:cs="Arial"/>
                <w:b/>
                <w:bCs/>
                <w:noProof w:val="0"/>
                <w:szCs w:val="22"/>
                <w:lang w:val="en-GB" w:eastAsia="en-GB"/>
              </w:rPr>
              <w:t>Naziv</w:t>
            </w:r>
            <w:proofErr w:type="spellEnd"/>
            <w:r w:rsidRPr="00162E37">
              <w:rPr>
                <w:rFonts w:ascii="Arial" w:hAnsi="Arial" w:cs="Arial"/>
                <w:b/>
                <w:bCs/>
                <w:noProof w:val="0"/>
                <w:szCs w:val="22"/>
                <w:lang w:val="en-GB" w:eastAsia="en-GB"/>
              </w:rPr>
              <w:t xml:space="preserve"> </w:t>
            </w:r>
            <w:proofErr w:type="spellStart"/>
            <w:r w:rsidRPr="00162E37">
              <w:rPr>
                <w:rFonts w:ascii="Arial" w:hAnsi="Arial" w:cs="Arial"/>
                <w:b/>
                <w:bCs/>
                <w:noProof w:val="0"/>
                <w:szCs w:val="22"/>
                <w:lang w:val="en-GB" w:eastAsia="en-GB"/>
              </w:rPr>
              <w:t>stavke</w:t>
            </w:r>
            <w:proofErr w:type="spellEnd"/>
          </w:p>
        </w:tc>
        <w:tc>
          <w:tcPr>
            <w:tcW w:w="1468" w:type="dxa"/>
            <w:tcBorders>
              <w:top w:val="single" w:sz="8" w:space="0" w:color="auto"/>
              <w:left w:val="nil"/>
              <w:bottom w:val="nil"/>
              <w:right w:val="nil"/>
            </w:tcBorders>
            <w:shd w:val="clear" w:color="000000" w:fill="E3FFFF"/>
            <w:noWrap/>
            <w:vAlign w:val="center"/>
            <w:hideMark/>
          </w:tcPr>
          <w:p w14:paraId="15BA1076" w14:textId="77777777" w:rsidR="00162E37" w:rsidRPr="00162E37" w:rsidRDefault="00162E37" w:rsidP="00162E37">
            <w:pPr>
              <w:jc w:val="center"/>
              <w:rPr>
                <w:rFonts w:ascii="Arial" w:hAnsi="Arial" w:cs="Arial"/>
                <w:b/>
                <w:bCs/>
                <w:noProof w:val="0"/>
                <w:szCs w:val="22"/>
                <w:lang w:val="en-GB" w:eastAsia="en-GB"/>
              </w:rPr>
            </w:pPr>
            <w:proofErr w:type="spellStart"/>
            <w:r w:rsidRPr="00162E37">
              <w:rPr>
                <w:rFonts w:ascii="Arial" w:hAnsi="Arial" w:cs="Arial"/>
                <w:b/>
                <w:bCs/>
                <w:noProof w:val="0"/>
                <w:szCs w:val="22"/>
                <w:lang w:val="en-GB" w:eastAsia="en-GB"/>
              </w:rPr>
              <w:t>Iznos</w:t>
            </w:r>
            <w:proofErr w:type="spellEnd"/>
            <w:r w:rsidRPr="00162E37">
              <w:rPr>
                <w:rFonts w:ascii="Arial" w:hAnsi="Arial" w:cs="Arial"/>
                <w:b/>
                <w:bCs/>
                <w:noProof w:val="0"/>
                <w:szCs w:val="22"/>
                <w:lang w:val="en-GB" w:eastAsia="en-GB"/>
              </w:rPr>
              <w:t xml:space="preserve"> </w:t>
            </w:r>
          </w:p>
        </w:tc>
        <w:tc>
          <w:tcPr>
            <w:tcW w:w="1310" w:type="dxa"/>
            <w:tcBorders>
              <w:top w:val="single" w:sz="8" w:space="0" w:color="auto"/>
              <w:left w:val="nil"/>
              <w:bottom w:val="nil"/>
              <w:right w:val="nil"/>
            </w:tcBorders>
            <w:shd w:val="clear" w:color="000000" w:fill="E3FFFF"/>
            <w:noWrap/>
            <w:vAlign w:val="center"/>
            <w:hideMark/>
          </w:tcPr>
          <w:p w14:paraId="1E164839" w14:textId="77777777" w:rsidR="00162E37" w:rsidRPr="00162E37" w:rsidRDefault="00162E37" w:rsidP="00162E37">
            <w:pPr>
              <w:jc w:val="center"/>
              <w:rPr>
                <w:rFonts w:ascii="Arial" w:hAnsi="Arial" w:cs="Arial"/>
                <w:b/>
                <w:bCs/>
                <w:noProof w:val="0"/>
                <w:szCs w:val="22"/>
                <w:lang w:val="en-GB" w:eastAsia="en-GB"/>
              </w:rPr>
            </w:pPr>
            <w:proofErr w:type="spellStart"/>
            <w:r w:rsidRPr="00162E37">
              <w:rPr>
                <w:rFonts w:ascii="Arial" w:hAnsi="Arial" w:cs="Arial"/>
                <w:b/>
                <w:bCs/>
                <w:noProof w:val="0"/>
                <w:szCs w:val="22"/>
                <w:lang w:val="en-GB" w:eastAsia="en-GB"/>
              </w:rPr>
              <w:t>Iznos</w:t>
            </w:r>
            <w:proofErr w:type="spellEnd"/>
            <w:r w:rsidRPr="00162E37">
              <w:rPr>
                <w:rFonts w:ascii="Arial" w:hAnsi="Arial" w:cs="Arial"/>
                <w:b/>
                <w:bCs/>
                <w:noProof w:val="0"/>
                <w:szCs w:val="22"/>
                <w:lang w:val="en-GB" w:eastAsia="en-GB"/>
              </w:rPr>
              <w:t xml:space="preserve"> </w:t>
            </w:r>
          </w:p>
        </w:tc>
        <w:tc>
          <w:tcPr>
            <w:tcW w:w="1369" w:type="dxa"/>
            <w:tcBorders>
              <w:top w:val="single" w:sz="8" w:space="0" w:color="auto"/>
              <w:left w:val="single" w:sz="4" w:space="0" w:color="auto"/>
              <w:bottom w:val="nil"/>
              <w:right w:val="single" w:sz="8" w:space="0" w:color="auto"/>
            </w:tcBorders>
            <w:shd w:val="clear" w:color="000000" w:fill="E3FFFF"/>
            <w:noWrap/>
            <w:vAlign w:val="bottom"/>
            <w:hideMark/>
          </w:tcPr>
          <w:p w14:paraId="57DD85E0" w14:textId="77777777" w:rsidR="00162E37" w:rsidRPr="00162E37" w:rsidRDefault="00162E37" w:rsidP="00162E37">
            <w:pPr>
              <w:jc w:val="center"/>
              <w:rPr>
                <w:rFonts w:ascii="Arial" w:hAnsi="Arial" w:cs="Arial"/>
                <w:b/>
                <w:bCs/>
                <w:noProof w:val="0"/>
                <w:szCs w:val="22"/>
                <w:lang w:val="en-GB" w:eastAsia="en-GB"/>
              </w:rPr>
            </w:pPr>
            <w:r w:rsidRPr="00162E37">
              <w:rPr>
                <w:rFonts w:ascii="Arial" w:hAnsi="Arial" w:cs="Arial"/>
                <w:b/>
                <w:bCs/>
                <w:noProof w:val="0"/>
                <w:szCs w:val="22"/>
                <w:lang w:val="en-GB" w:eastAsia="en-GB"/>
              </w:rPr>
              <w:t>Index</w:t>
            </w:r>
          </w:p>
        </w:tc>
      </w:tr>
      <w:tr w:rsidR="00162E37" w:rsidRPr="00162E37" w14:paraId="0708CABD" w14:textId="77777777" w:rsidTr="00162E37">
        <w:trPr>
          <w:trHeight w:val="240"/>
        </w:trPr>
        <w:tc>
          <w:tcPr>
            <w:tcW w:w="635" w:type="dxa"/>
            <w:tcBorders>
              <w:top w:val="nil"/>
              <w:left w:val="single" w:sz="8" w:space="0" w:color="auto"/>
              <w:bottom w:val="double" w:sz="6" w:space="0" w:color="auto"/>
              <w:right w:val="single" w:sz="4" w:space="0" w:color="auto"/>
            </w:tcBorders>
            <w:shd w:val="clear" w:color="000000" w:fill="E3FFFF"/>
            <w:noWrap/>
            <w:vAlign w:val="center"/>
            <w:hideMark/>
          </w:tcPr>
          <w:p w14:paraId="25847287" w14:textId="77777777" w:rsidR="00162E37" w:rsidRPr="00162E37" w:rsidRDefault="00162E37" w:rsidP="00162E37">
            <w:pPr>
              <w:jc w:val="center"/>
              <w:rPr>
                <w:rFonts w:ascii="Arial" w:hAnsi="Arial" w:cs="Arial"/>
                <w:b/>
                <w:bCs/>
                <w:noProof w:val="0"/>
                <w:szCs w:val="22"/>
                <w:lang w:val="en-GB" w:eastAsia="en-GB"/>
              </w:rPr>
            </w:pPr>
            <w:r w:rsidRPr="00162E37">
              <w:rPr>
                <w:rFonts w:ascii="Arial" w:hAnsi="Arial" w:cs="Arial"/>
                <w:b/>
                <w:bCs/>
                <w:noProof w:val="0"/>
                <w:szCs w:val="22"/>
                <w:lang w:val="en-GB" w:eastAsia="en-GB"/>
              </w:rPr>
              <w:t> </w:t>
            </w:r>
          </w:p>
        </w:tc>
        <w:tc>
          <w:tcPr>
            <w:tcW w:w="4604" w:type="dxa"/>
            <w:tcBorders>
              <w:top w:val="nil"/>
              <w:left w:val="nil"/>
              <w:bottom w:val="double" w:sz="6" w:space="0" w:color="auto"/>
              <w:right w:val="single" w:sz="4" w:space="0" w:color="auto"/>
            </w:tcBorders>
            <w:shd w:val="clear" w:color="000000" w:fill="E3FFFF"/>
            <w:noWrap/>
            <w:vAlign w:val="center"/>
            <w:hideMark/>
          </w:tcPr>
          <w:p w14:paraId="652A7849" w14:textId="77777777" w:rsidR="00162E37" w:rsidRPr="00162E37" w:rsidRDefault="00162E37" w:rsidP="00162E37">
            <w:pPr>
              <w:jc w:val="center"/>
              <w:rPr>
                <w:rFonts w:ascii="Arial" w:hAnsi="Arial" w:cs="Arial"/>
                <w:b/>
                <w:bCs/>
                <w:noProof w:val="0"/>
                <w:szCs w:val="22"/>
                <w:lang w:val="en-GB" w:eastAsia="en-GB"/>
              </w:rPr>
            </w:pPr>
            <w:r w:rsidRPr="00162E37">
              <w:rPr>
                <w:rFonts w:ascii="Arial" w:hAnsi="Arial" w:cs="Arial"/>
                <w:b/>
                <w:bCs/>
                <w:noProof w:val="0"/>
                <w:szCs w:val="22"/>
                <w:lang w:val="en-GB" w:eastAsia="en-GB"/>
              </w:rPr>
              <w:t> </w:t>
            </w:r>
          </w:p>
        </w:tc>
        <w:tc>
          <w:tcPr>
            <w:tcW w:w="1468" w:type="dxa"/>
            <w:tcBorders>
              <w:top w:val="nil"/>
              <w:left w:val="nil"/>
              <w:bottom w:val="double" w:sz="6" w:space="0" w:color="auto"/>
              <w:right w:val="nil"/>
            </w:tcBorders>
            <w:shd w:val="clear" w:color="000000" w:fill="E3FFFF"/>
            <w:noWrap/>
            <w:vAlign w:val="center"/>
            <w:hideMark/>
          </w:tcPr>
          <w:p w14:paraId="29558128" w14:textId="77777777" w:rsidR="00162E37" w:rsidRPr="00162E37" w:rsidRDefault="00162E37" w:rsidP="00162E37">
            <w:pPr>
              <w:jc w:val="center"/>
              <w:rPr>
                <w:rFonts w:ascii="Arial" w:hAnsi="Arial" w:cs="Arial"/>
                <w:b/>
                <w:bCs/>
                <w:noProof w:val="0"/>
                <w:szCs w:val="22"/>
                <w:lang w:val="en-GB" w:eastAsia="en-GB"/>
              </w:rPr>
            </w:pPr>
            <w:r w:rsidRPr="00162E37">
              <w:rPr>
                <w:rFonts w:ascii="Arial" w:hAnsi="Arial" w:cs="Arial"/>
                <w:b/>
                <w:bCs/>
                <w:noProof w:val="0"/>
                <w:szCs w:val="22"/>
                <w:lang w:val="en-GB" w:eastAsia="en-GB"/>
              </w:rPr>
              <w:t>2020. g.</w:t>
            </w:r>
          </w:p>
        </w:tc>
        <w:tc>
          <w:tcPr>
            <w:tcW w:w="1310" w:type="dxa"/>
            <w:tcBorders>
              <w:top w:val="nil"/>
              <w:left w:val="nil"/>
              <w:bottom w:val="double" w:sz="6" w:space="0" w:color="auto"/>
              <w:right w:val="nil"/>
            </w:tcBorders>
            <w:shd w:val="clear" w:color="000000" w:fill="E3FFFF"/>
            <w:noWrap/>
            <w:vAlign w:val="center"/>
            <w:hideMark/>
          </w:tcPr>
          <w:p w14:paraId="50489FF1" w14:textId="77777777" w:rsidR="00162E37" w:rsidRPr="00162E37" w:rsidRDefault="00162E37" w:rsidP="00162E37">
            <w:pPr>
              <w:jc w:val="center"/>
              <w:rPr>
                <w:rFonts w:ascii="Arial" w:hAnsi="Arial" w:cs="Arial"/>
                <w:b/>
                <w:bCs/>
                <w:noProof w:val="0"/>
                <w:szCs w:val="22"/>
                <w:lang w:val="en-GB" w:eastAsia="en-GB"/>
              </w:rPr>
            </w:pPr>
            <w:r w:rsidRPr="00162E37">
              <w:rPr>
                <w:rFonts w:ascii="Arial" w:hAnsi="Arial" w:cs="Arial"/>
                <w:b/>
                <w:bCs/>
                <w:noProof w:val="0"/>
                <w:szCs w:val="22"/>
                <w:lang w:val="en-GB" w:eastAsia="en-GB"/>
              </w:rPr>
              <w:t>2021. g</w:t>
            </w:r>
          </w:p>
        </w:tc>
        <w:tc>
          <w:tcPr>
            <w:tcW w:w="1369" w:type="dxa"/>
            <w:tcBorders>
              <w:top w:val="nil"/>
              <w:left w:val="single" w:sz="4" w:space="0" w:color="auto"/>
              <w:bottom w:val="double" w:sz="6" w:space="0" w:color="auto"/>
              <w:right w:val="single" w:sz="8" w:space="0" w:color="auto"/>
            </w:tcBorders>
            <w:shd w:val="clear" w:color="000000" w:fill="E3FFFF"/>
            <w:noWrap/>
            <w:vAlign w:val="bottom"/>
            <w:hideMark/>
          </w:tcPr>
          <w:p w14:paraId="0D2CB42D" w14:textId="77777777" w:rsidR="00162E37" w:rsidRPr="00162E37" w:rsidRDefault="00162E37" w:rsidP="00162E37">
            <w:pPr>
              <w:jc w:val="center"/>
              <w:rPr>
                <w:rFonts w:ascii="Arial" w:hAnsi="Arial" w:cs="Arial"/>
                <w:b/>
                <w:bCs/>
                <w:noProof w:val="0"/>
                <w:szCs w:val="22"/>
                <w:lang w:val="en-GB" w:eastAsia="en-GB"/>
              </w:rPr>
            </w:pPr>
            <w:r w:rsidRPr="00162E37">
              <w:rPr>
                <w:rFonts w:ascii="Arial" w:hAnsi="Arial" w:cs="Arial"/>
                <w:b/>
                <w:bCs/>
                <w:noProof w:val="0"/>
                <w:szCs w:val="22"/>
                <w:lang w:val="en-GB" w:eastAsia="en-GB"/>
              </w:rPr>
              <w:t> </w:t>
            </w:r>
          </w:p>
        </w:tc>
      </w:tr>
      <w:tr w:rsidR="00162E37" w:rsidRPr="00162E37" w14:paraId="1F579332" w14:textId="77777777" w:rsidTr="00162E37">
        <w:trPr>
          <w:trHeight w:val="255"/>
        </w:trPr>
        <w:tc>
          <w:tcPr>
            <w:tcW w:w="635" w:type="dxa"/>
            <w:tcBorders>
              <w:top w:val="nil"/>
              <w:left w:val="single" w:sz="8" w:space="0" w:color="auto"/>
              <w:bottom w:val="double" w:sz="6" w:space="0" w:color="auto"/>
              <w:right w:val="nil"/>
            </w:tcBorders>
            <w:shd w:val="clear" w:color="000000" w:fill="E3FFFF"/>
            <w:noWrap/>
            <w:vAlign w:val="center"/>
            <w:hideMark/>
          </w:tcPr>
          <w:p w14:paraId="77566476" w14:textId="77777777" w:rsidR="00162E37" w:rsidRPr="00162E37" w:rsidRDefault="00162E37" w:rsidP="00162E37">
            <w:pPr>
              <w:jc w:val="center"/>
              <w:rPr>
                <w:rFonts w:ascii="Arial" w:hAnsi="Arial" w:cs="Arial"/>
                <w:noProof w:val="0"/>
                <w:szCs w:val="22"/>
                <w:lang w:val="en-GB" w:eastAsia="en-GB"/>
              </w:rPr>
            </w:pPr>
            <w:r w:rsidRPr="00162E37">
              <w:rPr>
                <w:rFonts w:ascii="Arial" w:hAnsi="Arial" w:cs="Arial"/>
                <w:noProof w:val="0"/>
                <w:szCs w:val="22"/>
                <w:lang w:val="en-GB" w:eastAsia="en-GB"/>
              </w:rPr>
              <w:t>1.</w:t>
            </w:r>
          </w:p>
        </w:tc>
        <w:tc>
          <w:tcPr>
            <w:tcW w:w="4604" w:type="dxa"/>
            <w:tcBorders>
              <w:top w:val="nil"/>
              <w:left w:val="single" w:sz="4" w:space="0" w:color="auto"/>
              <w:bottom w:val="double" w:sz="6" w:space="0" w:color="auto"/>
              <w:right w:val="single" w:sz="4" w:space="0" w:color="auto"/>
            </w:tcBorders>
            <w:shd w:val="clear" w:color="000000" w:fill="E3FFFF"/>
            <w:noWrap/>
            <w:vAlign w:val="center"/>
            <w:hideMark/>
          </w:tcPr>
          <w:p w14:paraId="4858FEB9" w14:textId="77777777" w:rsidR="00162E37" w:rsidRPr="00162E37" w:rsidRDefault="00162E37" w:rsidP="00162E37">
            <w:pPr>
              <w:jc w:val="center"/>
              <w:rPr>
                <w:rFonts w:ascii="Arial" w:hAnsi="Arial" w:cs="Arial"/>
                <w:noProof w:val="0"/>
                <w:szCs w:val="22"/>
                <w:lang w:val="en-GB" w:eastAsia="en-GB"/>
              </w:rPr>
            </w:pPr>
            <w:r w:rsidRPr="00162E37">
              <w:rPr>
                <w:rFonts w:ascii="Arial" w:hAnsi="Arial" w:cs="Arial"/>
                <w:noProof w:val="0"/>
                <w:szCs w:val="22"/>
                <w:lang w:val="en-GB" w:eastAsia="en-GB"/>
              </w:rPr>
              <w:t>2.</w:t>
            </w:r>
          </w:p>
        </w:tc>
        <w:tc>
          <w:tcPr>
            <w:tcW w:w="1468" w:type="dxa"/>
            <w:tcBorders>
              <w:top w:val="nil"/>
              <w:left w:val="nil"/>
              <w:bottom w:val="double" w:sz="6" w:space="0" w:color="auto"/>
              <w:right w:val="nil"/>
            </w:tcBorders>
            <w:shd w:val="clear" w:color="000000" w:fill="E3FFFF"/>
            <w:noWrap/>
            <w:vAlign w:val="center"/>
            <w:hideMark/>
          </w:tcPr>
          <w:p w14:paraId="1930E2CA" w14:textId="77777777" w:rsidR="00162E37" w:rsidRPr="00162E37" w:rsidRDefault="00162E37" w:rsidP="00162E37">
            <w:pPr>
              <w:jc w:val="center"/>
              <w:rPr>
                <w:rFonts w:ascii="Arial" w:hAnsi="Arial" w:cs="Arial"/>
                <w:noProof w:val="0"/>
                <w:szCs w:val="22"/>
                <w:lang w:val="en-GB" w:eastAsia="en-GB"/>
              </w:rPr>
            </w:pPr>
            <w:r w:rsidRPr="00162E37">
              <w:rPr>
                <w:rFonts w:ascii="Arial" w:hAnsi="Arial" w:cs="Arial"/>
                <w:noProof w:val="0"/>
                <w:szCs w:val="22"/>
                <w:lang w:val="en-GB" w:eastAsia="en-GB"/>
              </w:rPr>
              <w:t>4.</w:t>
            </w:r>
          </w:p>
        </w:tc>
        <w:tc>
          <w:tcPr>
            <w:tcW w:w="1310" w:type="dxa"/>
            <w:tcBorders>
              <w:top w:val="nil"/>
              <w:left w:val="nil"/>
              <w:bottom w:val="double" w:sz="6" w:space="0" w:color="auto"/>
              <w:right w:val="nil"/>
            </w:tcBorders>
            <w:shd w:val="clear" w:color="000000" w:fill="E3FFFF"/>
            <w:noWrap/>
            <w:vAlign w:val="center"/>
            <w:hideMark/>
          </w:tcPr>
          <w:p w14:paraId="03792239" w14:textId="77777777" w:rsidR="00162E37" w:rsidRPr="00162E37" w:rsidRDefault="00162E37" w:rsidP="00162E37">
            <w:pPr>
              <w:jc w:val="center"/>
              <w:rPr>
                <w:rFonts w:ascii="Arial" w:hAnsi="Arial" w:cs="Arial"/>
                <w:noProof w:val="0"/>
                <w:szCs w:val="22"/>
                <w:lang w:val="en-GB" w:eastAsia="en-GB"/>
              </w:rPr>
            </w:pPr>
            <w:r w:rsidRPr="00162E37">
              <w:rPr>
                <w:rFonts w:ascii="Arial" w:hAnsi="Arial" w:cs="Arial"/>
                <w:noProof w:val="0"/>
                <w:szCs w:val="22"/>
                <w:lang w:val="en-GB" w:eastAsia="en-GB"/>
              </w:rPr>
              <w:t>4.</w:t>
            </w:r>
          </w:p>
        </w:tc>
        <w:tc>
          <w:tcPr>
            <w:tcW w:w="1369" w:type="dxa"/>
            <w:tcBorders>
              <w:top w:val="nil"/>
              <w:left w:val="single" w:sz="4" w:space="0" w:color="auto"/>
              <w:bottom w:val="double" w:sz="6" w:space="0" w:color="auto"/>
              <w:right w:val="single" w:sz="8" w:space="0" w:color="auto"/>
            </w:tcBorders>
            <w:shd w:val="clear" w:color="000000" w:fill="E3FFFF"/>
            <w:noWrap/>
            <w:vAlign w:val="center"/>
            <w:hideMark/>
          </w:tcPr>
          <w:p w14:paraId="59229915" w14:textId="77777777" w:rsidR="00162E37" w:rsidRPr="00162E37" w:rsidRDefault="00162E37" w:rsidP="00162E37">
            <w:pPr>
              <w:jc w:val="center"/>
              <w:rPr>
                <w:rFonts w:ascii="Arial" w:hAnsi="Arial" w:cs="Arial"/>
                <w:noProof w:val="0"/>
                <w:szCs w:val="22"/>
                <w:lang w:val="en-GB" w:eastAsia="en-GB"/>
              </w:rPr>
            </w:pPr>
            <w:r w:rsidRPr="00162E37">
              <w:rPr>
                <w:rFonts w:ascii="Arial" w:hAnsi="Arial" w:cs="Arial"/>
                <w:noProof w:val="0"/>
                <w:szCs w:val="22"/>
                <w:lang w:val="en-GB" w:eastAsia="en-GB"/>
              </w:rPr>
              <w:t>5.</w:t>
            </w:r>
          </w:p>
        </w:tc>
      </w:tr>
      <w:tr w:rsidR="00162E37" w:rsidRPr="00162E37" w14:paraId="79F94556" w14:textId="77777777" w:rsidTr="00162E37">
        <w:trPr>
          <w:trHeight w:val="225"/>
        </w:trPr>
        <w:tc>
          <w:tcPr>
            <w:tcW w:w="635" w:type="dxa"/>
            <w:tcBorders>
              <w:top w:val="nil"/>
              <w:left w:val="single" w:sz="8" w:space="0" w:color="auto"/>
              <w:bottom w:val="nil"/>
              <w:right w:val="nil"/>
            </w:tcBorders>
            <w:shd w:val="clear" w:color="000000" w:fill="E3FFFF"/>
            <w:noWrap/>
            <w:vAlign w:val="bottom"/>
            <w:hideMark/>
          </w:tcPr>
          <w:p w14:paraId="7DB6B376" w14:textId="77777777" w:rsidR="00162E37" w:rsidRPr="00162E37" w:rsidRDefault="00162E37" w:rsidP="00162E37">
            <w:pPr>
              <w:jc w:val="center"/>
              <w:rPr>
                <w:rFonts w:ascii="Arial" w:hAnsi="Arial" w:cs="Arial"/>
                <w:noProof w:val="0"/>
                <w:szCs w:val="22"/>
                <w:lang w:val="en-GB" w:eastAsia="en-GB"/>
              </w:rPr>
            </w:pPr>
            <w:r w:rsidRPr="00162E37">
              <w:rPr>
                <w:rFonts w:ascii="Arial" w:hAnsi="Arial" w:cs="Arial"/>
                <w:noProof w:val="0"/>
                <w:szCs w:val="22"/>
                <w:lang w:val="en-GB" w:eastAsia="en-GB"/>
              </w:rPr>
              <w:t> </w:t>
            </w:r>
          </w:p>
        </w:tc>
        <w:tc>
          <w:tcPr>
            <w:tcW w:w="4604" w:type="dxa"/>
            <w:tcBorders>
              <w:top w:val="nil"/>
              <w:left w:val="single" w:sz="4" w:space="0" w:color="auto"/>
              <w:bottom w:val="nil"/>
              <w:right w:val="single" w:sz="4" w:space="0" w:color="auto"/>
            </w:tcBorders>
            <w:shd w:val="clear" w:color="000000" w:fill="E3FFFF"/>
            <w:noWrap/>
            <w:vAlign w:val="bottom"/>
            <w:hideMark/>
          </w:tcPr>
          <w:p w14:paraId="650FAEF3" w14:textId="77777777" w:rsidR="00162E37" w:rsidRPr="00162E37" w:rsidRDefault="00162E37" w:rsidP="00162E37">
            <w:pPr>
              <w:rPr>
                <w:rFonts w:ascii="Arial" w:hAnsi="Arial" w:cs="Arial"/>
                <w:noProof w:val="0"/>
                <w:szCs w:val="22"/>
                <w:lang w:val="en-GB" w:eastAsia="en-GB"/>
              </w:rPr>
            </w:pPr>
            <w:r w:rsidRPr="00162E37">
              <w:rPr>
                <w:rFonts w:ascii="Arial" w:hAnsi="Arial" w:cs="Arial"/>
                <w:noProof w:val="0"/>
                <w:szCs w:val="22"/>
                <w:lang w:val="en-GB" w:eastAsia="en-GB"/>
              </w:rPr>
              <w:t> </w:t>
            </w:r>
          </w:p>
        </w:tc>
        <w:tc>
          <w:tcPr>
            <w:tcW w:w="1468" w:type="dxa"/>
            <w:tcBorders>
              <w:top w:val="nil"/>
              <w:left w:val="nil"/>
              <w:bottom w:val="nil"/>
              <w:right w:val="single" w:sz="4" w:space="0" w:color="auto"/>
            </w:tcBorders>
            <w:shd w:val="clear" w:color="auto" w:fill="auto"/>
            <w:noWrap/>
            <w:vAlign w:val="bottom"/>
            <w:hideMark/>
          </w:tcPr>
          <w:p w14:paraId="25B78E80" w14:textId="77777777" w:rsidR="00162E37" w:rsidRPr="00162E37" w:rsidRDefault="00162E37" w:rsidP="00162E37">
            <w:pPr>
              <w:rPr>
                <w:rFonts w:ascii="Arial" w:hAnsi="Arial" w:cs="Arial"/>
                <w:noProof w:val="0"/>
                <w:szCs w:val="22"/>
                <w:lang w:val="en-GB" w:eastAsia="en-GB"/>
              </w:rPr>
            </w:pPr>
            <w:r w:rsidRPr="00162E37">
              <w:rPr>
                <w:rFonts w:ascii="Arial" w:hAnsi="Arial" w:cs="Arial"/>
                <w:noProof w:val="0"/>
                <w:szCs w:val="22"/>
                <w:lang w:val="en-GB" w:eastAsia="en-GB"/>
              </w:rPr>
              <w:t> </w:t>
            </w:r>
          </w:p>
        </w:tc>
        <w:tc>
          <w:tcPr>
            <w:tcW w:w="1310" w:type="dxa"/>
            <w:tcBorders>
              <w:top w:val="nil"/>
              <w:left w:val="nil"/>
              <w:bottom w:val="nil"/>
              <w:right w:val="single" w:sz="4" w:space="0" w:color="auto"/>
            </w:tcBorders>
            <w:shd w:val="clear" w:color="auto" w:fill="auto"/>
            <w:noWrap/>
            <w:vAlign w:val="bottom"/>
            <w:hideMark/>
          </w:tcPr>
          <w:p w14:paraId="0DE27F66" w14:textId="77777777" w:rsidR="00162E37" w:rsidRPr="00162E37" w:rsidRDefault="00162E37" w:rsidP="00162E37">
            <w:pPr>
              <w:rPr>
                <w:rFonts w:ascii="Arial" w:hAnsi="Arial" w:cs="Arial"/>
                <w:noProof w:val="0"/>
                <w:szCs w:val="22"/>
                <w:lang w:val="en-GB" w:eastAsia="en-GB"/>
              </w:rPr>
            </w:pPr>
            <w:r w:rsidRPr="00162E37">
              <w:rPr>
                <w:rFonts w:ascii="Arial" w:hAnsi="Arial" w:cs="Arial"/>
                <w:noProof w:val="0"/>
                <w:szCs w:val="22"/>
                <w:lang w:val="en-GB" w:eastAsia="en-GB"/>
              </w:rPr>
              <w:t> </w:t>
            </w:r>
          </w:p>
        </w:tc>
        <w:tc>
          <w:tcPr>
            <w:tcW w:w="1369" w:type="dxa"/>
            <w:tcBorders>
              <w:top w:val="nil"/>
              <w:left w:val="nil"/>
              <w:bottom w:val="nil"/>
              <w:right w:val="single" w:sz="8" w:space="0" w:color="auto"/>
            </w:tcBorders>
            <w:shd w:val="clear" w:color="auto" w:fill="auto"/>
            <w:noWrap/>
            <w:vAlign w:val="bottom"/>
            <w:hideMark/>
          </w:tcPr>
          <w:p w14:paraId="453E16B0" w14:textId="77777777" w:rsidR="00162E37" w:rsidRPr="00162E37" w:rsidRDefault="00162E37" w:rsidP="00162E37">
            <w:pPr>
              <w:jc w:val="center"/>
              <w:rPr>
                <w:rFonts w:ascii="Arial" w:hAnsi="Arial" w:cs="Arial"/>
                <w:noProof w:val="0"/>
                <w:szCs w:val="22"/>
                <w:lang w:val="en-GB" w:eastAsia="en-GB"/>
              </w:rPr>
            </w:pPr>
            <w:r w:rsidRPr="00162E37">
              <w:rPr>
                <w:rFonts w:ascii="Arial" w:hAnsi="Arial" w:cs="Arial"/>
                <w:noProof w:val="0"/>
                <w:szCs w:val="22"/>
                <w:lang w:val="en-GB" w:eastAsia="en-GB"/>
              </w:rPr>
              <w:t> </w:t>
            </w:r>
          </w:p>
        </w:tc>
      </w:tr>
      <w:tr w:rsidR="00162E37" w:rsidRPr="00162E37" w14:paraId="30772E35" w14:textId="77777777" w:rsidTr="00162E37">
        <w:trPr>
          <w:trHeight w:val="285"/>
        </w:trPr>
        <w:tc>
          <w:tcPr>
            <w:tcW w:w="635" w:type="dxa"/>
            <w:tcBorders>
              <w:top w:val="nil"/>
              <w:left w:val="single" w:sz="8" w:space="0" w:color="auto"/>
              <w:bottom w:val="nil"/>
              <w:right w:val="nil"/>
            </w:tcBorders>
            <w:shd w:val="clear" w:color="000000" w:fill="E3FFFF"/>
            <w:noWrap/>
            <w:vAlign w:val="bottom"/>
            <w:hideMark/>
          </w:tcPr>
          <w:p w14:paraId="6AE5E78E" w14:textId="77777777" w:rsidR="00162E37" w:rsidRPr="00162E37" w:rsidRDefault="00162E37" w:rsidP="00162E37">
            <w:pPr>
              <w:jc w:val="center"/>
              <w:rPr>
                <w:rFonts w:ascii="Arial" w:hAnsi="Arial" w:cs="Arial"/>
                <w:noProof w:val="0"/>
                <w:szCs w:val="22"/>
                <w:lang w:val="en-GB" w:eastAsia="en-GB"/>
              </w:rPr>
            </w:pPr>
            <w:r w:rsidRPr="00162E37">
              <w:rPr>
                <w:rFonts w:ascii="Arial" w:hAnsi="Arial" w:cs="Arial"/>
                <w:noProof w:val="0"/>
                <w:szCs w:val="22"/>
                <w:lang w:val="en-GB" w:eastAsia="en-GB"/>
              </w:rPr>
              <w:t>045</w:t>
            </w:r>
          </w:p>
        </w:tc>
        <w:tc>
          <w:tcPr>
            <w:tcW w:w="4604" w:type="dxa"/>
            <w:tcBorders>
              <w:top w:val="nil"/>
              <w:left w:val="single" w:sz="4" w:space="0" w:color="auto"/>
              <w:bottom w:val="nil"/>
              <w:right w:val="single" w:sz="4" w:space="0" w:color="auto"/>
            </w:tcBorders>
            <w:shd w:val="clear" w:color="000000" w:fill="E3FFFF"/>
            <w:noWrap/>
            <w:vAlign w:val="bottom"/>
            <w:hideMark/>
          </w:tcPr>
          <w:p w14:paraId="10F12168" w14:textId="77777777" w:rsidR="00162E37" w:rsidRPr="00162E37" w:rsidRDefault="00162E37" w:rsidP="00162E37">
            <w:pPr>
              <w:rPr>
                <w:rFonts w:ascii="Arial" w:hAnsi="Arial" w:cs="Arial"/>
                <w:noProof w:val="0"/>
                <w:szCs w:val="22"/>
                <w:lang w:val="en-GB" w:eastAsia="en-GB"/>
              </w:rPr>
            </w:pPr>
            <w:proofErr w:type="spellStart"/>
            <w:r w:rsidRPr="00162E37">
              <w:rPr>
                <w:rFonts w:ascii="Arial" w:hAnsi="Arial" w:cs="Arial"/>
                <w:noProof w:val="0"/>
                <w:szCs w:val="22"/>
                <w:lang w:val="en-GB" w:eastAsia="en-GB"/>
              </w:rPr>
              <w:t>Pomoći</w:t>
            </w:r>
            <w:proofErr w:type="spellEnd"/>
            <w:r w:rsidRPr="00162E37">
              <w:rPr>
                <w:rFonts w:ascii="Arial" w:hAnsi="Arial" w:cs="Arial"/>
                <w:noProof w:val="0"/>
                <w:szCs w:val="22"/>
                <w:lang w:val="en-GB" w:eastAsia="en-GB"/>
              </w:rPr>
              <w:t xml:space="preserve"> od </w:t>
            </w:r>
            <w:proofErr w:type="spellStart"/>
            <w:r w:rsidRPr="00162E37">
              <w:rPr>
                <w:rFonts w:ascii="Arial" w:hAnsi="Arial" w:cs="Arial"/>
                <w:noProof w:val="0"/>
                <w:szCs w:val="22"/>
                <w:lang w:val="en-GB" w:eastAsia="en-GB"/>
              </w:rPr>
              <w:t>subjekta</w:t>
            </w:r>
            <w:proofErr w:type="spellEnd"/>
            <w:r w:rsidRPr="00162E37">
              <w:rPr>
                <w:rFonts w:ascii="Arial" w:hAnsi="Arial" w:cs="Arial"/>
                <w:noProof w:val="0"/>
                <w:szCs w:val="22"/>
                <w:lang w:val="en-GB" w:eastAsia="en-GB"/>
              </w:rPr>
              <w:t xml:space="preserve"> </w:t>
            </w:r>
            <w:proofErr w:type="spellStart"/>
            <w:r w:rsidRPr="00162E37">
              <w:rPr>
                <w:rFonts w:ascii="Arial" w:hAnsi="Arial" w:cs="Arial"/>
                <w:noProof w:val="0"/>
                <w:szCs w:val="22"/>
                <w:lang w:val="en-GB" w:eastAsia="en-GB"/>
              </w:rPr>
              <w:t>unutar</w:t>
            </w:r>
            <w:proofErr w:type="spellEnd"/>
            <w:r w:rsidRPr="00162E37">
              <w:rPr>
                <w:rFonts w:ascii="Arial" w:hAnsi="Arial" w:cs="Arial"/>
                <w:noProof w:val="0"/>
                <w:szCs w:val="22"/>
                <w:lang w:val="en-GB" w:eastAsia="en-GB"/>
              </w:rPr>
              <w:t xml:space="preserve"> </w:t>
            </w:r>
            <w:proofErr w:type="spellStart"/>
            <w:r w:rsidRPr="00162E37">
              <w:rPr>
                <w:rFonts w:ascii="Arial" w:hAnsi="Arial" w:cs="Arial"/>
                <w:noProof w:val="0"/>
                <w:szCs w:val="22"/>
                <w:lang w:val="en-GB" w:eastAsia="en-GB"/>
              </w:rPr>
              <w:t>općeg</w:t>
            </w:r>
            <w:proofErr w:type="spellEnd"/>
            <w:r w:rsidRPr="00162E37">
              <w:rPr>
                <w:rFonts w:ascii="Arial" w:hAnsi="Arial" w:cs="Arial"/>
                <w:noProof w:val="0"/>
                <w:szCs w:val="22"/>
                <w:lang w:val="en-GB" w:eastAsia="en-GB"/>
              </w:rPr>
              <w:t xml:space="preserve"> </w:t>
            </w:r>
            <w:proofErr w:type="spellStart"/>
            <w:r w:rsidRPr="00162E37">
              <w:rPr>
                <w:rFonts w:ascii="Arial" w:hAnsi="Arial" w:cs="Arial"/>
                <w:noProof w:val="0"/>
                <w:szCs w:val="22"/>
                <w:lang w:val="en-GB" w:eastAsia="en-GB"/>
              </w:rPr>
              <w:t>proračuna</w:t>
            </w:r>
            <w:proofErr w:type="spellEnd"/>
          </w:p>
        </w:tc>
        <w:tc>
          <w:tcPr>
            <w:tcW w:w="1468" w:type="dxa"/>
            <w:tcBorders>
              <w:top w:val="nil"/>
              <w:left w:val="nil"/>
              <w:bottom w:val="nil"/>
              <w:right w:val="single" w:sz="4" w:space="0" w:color="auto"/>
            </w:tcBorders>
            <w:shd w:val="clear" w:color="auto" w:fill="auto"/>
            <w:noWrap/>
            <w:vAlign w:val="bottom"/>
            <w:hideMark/>
          </w:tcPr>
          <w:p w14:paraId="0D9B5F23" w14:textId="77777777" w:rsidR="00162E37" w:rsidRPr="00162E37" w:rsidRDefault="00162E37" w:rsidP="00162E37">
            <w:pPr>
              <w:jc w:val="right"/>
              <w:rPr>
                <w:rFonts w:ascii="Arial" w:hAnsi="Arial" w:cs="Arial"/>
                <w:noProof w:val="0"/>
                <w:szCs w:val="22"/>
                <w:lang w:val="en-GB" w:eastAsia="en-GB"/>
              </w:rPr>
            </w:pPr>
            <w:r w:rsidRPr="00162E37">
              <w:rPr>
                <w:rFonts w:ascii="Arial" w:hAnsi="Arial" w:cs="Arial"/>
                <w:noProof w:val="0"/>
                <w:szCs w:val="22"/>
                <w:lang w:val="en-GB" w:eastAsia="en-GB"/>
              </w:rPr>
              <w:t>8.846.511</w:t>
            </w:r>
          </w:p>
        </w:tc>
        <w:tc>
          <w:tcPr>
            <w:tcW w:w="1310" w:type="dxa"/>
            <w:tcBorders>
              <w:top w:val="nil"/>
              <w:left w:val="nil"/>
              <w:bottom w:val="nil"/>
              <w:right w:val="single" w:sz="4" w:space="0" w:color="auto"/>
            </w:tcBorders>
            <w:shd w:val="clear" w:color="auto" w:fill="auto"/>
            <w:noWrap/>
            <w:vAlign w:val="bottom"/>
            <w:hideMark/>
          </w:tcPr>
          <w:p w14:paraId="1C9D78B7" w14:textId="77777777" w:rsidR="00162E37" w:rsidRPr="00162E37" w:rsidRDefault="00162E37" w:rsidP="00162E37">
            <w:pPr>
              <w:jc w:val="right"/>
              <w:rPr>
                <w:rFonts w:ascii="Arial" w:hAnsi="Arial" w:cs="Arial"/>
                <w:noProof w:val="0"/>
                <w:szCs w:val="22"/>
                <w:lang w:val="en-GB" w:eastAsia="en-GB"/>
              </w:rPr>
            </w:pPr>
            <w:r w:rsidRPr="00162E37">
              <w:rPr>
                <w:rFonts w:ascii="Arial" w:hAnsi="Arial" w:cs="Arial"/>
                <w:noProof w:val="0"/>
                <w:szCs w:val="22"/>
                <w:lang w:val="en-GB" w:eastAsia="en-GB"/>
              </w:rPr>
              <w:t>17.961.813</w:t>
            </w:r>
          </w:p>
        </w:tc>
        <w:tc>
          <w:tcPr>
            <w:tcW w:w="1369" w:type="dxa"/>
            <w:tcBorders>
              <w:top w:val="nil"/>
              <w:left w:val="nil"/>
              <w:bottom w:val="nil"/>
              <w:right w:val="single" w:sz="8" w:space="0" w:color="auto"/>
            </w:tcBorders>
            <w:shd w:val="clear" w:color="auto" w:fill="auto"/>
            <w:noWrap/>
            <w:vAlign w:val="bottom"/>
            <w:hideMark/>
          </w:tcPr>
          <w:p w14:paraId="602CC465" w14:textId="77777777" w:rsidR="00162E37" w:rsidRPr="00162E37" w:rsidRDefault="00162E37" w:rsidP="00162E37">
            <w:pPr>
              <w:jc w:val="center"/>
              <w:rPr>
                <w:rFonts w:ascii="Arial" w:hAnsi="Arial" w:cs="Arial"/>
                <w:noProof w:val="0"/>
                <w:szCs w:val="22"/>
                <w:lang w:val="en-GB" w:eastAsia="en-GB"/>
              </w:rPr>
            </w:pPr>
            <w:r w:rsidRPr="00162E37">
              <w:rPr>
                <w:rFonts w:ascii="Arial" w:hAnsi="Arial" w:cs="Arial"/>
                <w:noProof w:val="0"/>
                <w:szCs w:val="22"/>
                <w:lang w:val="en-GB" w:eastAsia="en-GB"/>
              </w:rPr>
              <w:t>203,04</w:t>
            </w:r>
          </w:p>
        </w:tc>
      </w:tr>
      <w:tr w:rsidR="00162E37" w:rsidRPr="00162E37" w14:paraId="6E0A00D0" w14:textId="77777777" w:rsidTr="00162E37">
        <w:trPr>
          <w:trHeight w:val="300"/>
        </w:trPr>
        <w:tc>
          <w:tcPr>
            <w:tcW w:w="635" w:type="dxa"/>
            <w:tcBorders>
              <w:top w:val="nil"/>
              <w:left w:val="single" w:sz="8" w:space="0" w:color="auto"/>
              <w:bottom w:val="nil"/>
              <w:right w:val="nil"/>
            </w:tcBorders>
            <w:shd w:val="clear" w:color="000000" w:fill="E3FFFF"/>
            <w:noWrap/>
            <w:vAlign w:val="bottom"/>
            <w:hideMark/>
          </w:tcPr>
          <w:p w14:paraId="67348716" w14:textId="77777777" w:rsidR="00162E37" w:rsidRPr="00162E37" w:rsidRDefault="00162E37" w:rsidP="00162E37">
            <w:pPr>
              <w:jc w:val="center"/>
              <w:rPr>
                <w:rFonts w:ascii="Arial" w:hAnsi="Arial" w:cs="Arial"/>
                <w:noProof w:val="0"/>
                <w:szCs w:val="22"/>
                <w:lang w:val="en-GB" w:eastAsia="en-GB"/>
              </w:rPr>
            </w:pPr>
            <w:r w:rsidRPr="00162E37">
              <w:rPr>
                <w:rFonts w:ascii="Arial" w:hAnsi="Arial" w:cs="Arial"/>
                <w:noProof w:val="0"/>
                <w:szCs w:val="22"/>
                <w:lang w:val="en-GB" w:eastAsia="en-GB"/>
              </w:rPr>
              <w:t>074</w:t>
            </w:r>
          </w:p>
        </w:tc>
        <w:tc>
          <w:tcPr>
            <w:tcW w:w="4604" w:type="dxa"/>
            <w:tcBorders>
              <w:top w:val="nil"/>
              <w:left w:val="single" w:sz="4" w:space="0" w:color="auto"/>
              <w:bottom w:val="nil"/>
              <w:right w:val="single" w:sz="4" w:space="0" w:color="auto"/>
            </w:tcBorders>
            <w:shd w:val="clear" w:color="000000" w:fill="E3FFFF"/>
            <w:noWrap/>
            <w:vAlign w:val="bottom"/>
            <w:hideMark/>
          </w:tcPr>
          <w:p w14:paraId="652F3D0B" w14:textId="77777777" w:rsidR="00162E37" w:rsidRPr="00162E37" w:rsidRDefault="00162E37" w:rsidP="00162E37">
            <w:pPr>
              <w:rPr>
                <w:rFonts w:ascii="Arial" w:hAnsi="Arial" w:cs="Arial"/>
                <w:noProof w:val="0"/>
                <w:szCs w:val="22"/>
                <w:lang w:val="en-GB" w:eastAsia="en-GB"/>
              </w:rPr>
            </w:pPr>
            <w:proofErr w:type="spellStart"/>
            <w:r w:rsidRPr="00162E37">
              <w:rPr>
                <w:rFonts w:ascii="Arial" w:hAnsi="Arial" w:cs="Arial"/>
                <w:noProof w:val="0"/>
                <w:szCs w:val="22"/>
                <w:lang w:val="en-GB" w:eastAsia="en-GB"/>
              </w:rPr>
              <w:t>Prihodi</w:t>
            </w:r>
            <w:proofErr w:type="spellEnd"/>
            <w:r w:rsidRPr="00162E37">
              <w:rPr>
                <w:rFonts w:ascii="Arial" w:hAnsi="Arial" w:cs="Arial"/>
                <w:noProof w:val="0"/>
                <w:szCs w:val="22"/>
                <w:lang w:val="en-GB" w:eastAsia="en-GB"/>
              </w:rPr>
              <w:t xml:space="preserve"> od </w:t>
            </w:r>
            <w:proofErr w:type="spellStart"/>
            <w:r w:rsidRPr="00162E37">
              <w:rPr>
                <w:rFonts w:ascii="Arial" w:hAnsi="Arial" w:cs="Arial"/>
                <w:noProof w:val="0"/>
                <w:szCs w:val="22"/>
                <w:lang w:val="en-GB" w:eastAsia="en-GB"/>
              </w:rPr>
              <w:t>imovine</w:t>
            </w:r>
            <w:proofErr w:type="spellEnd"/>
          </w:p>
        </w:tc>
        <w:tc>
          <w:tcPr>
            <w:tcW w:w="1468" w:type="dxa"/>
            <w:tcBorders>
              <w:top w:val="nil"/>
              <w:left w:val="nil"/>
              <w:bottom w:val="nil"/>
              <w:right w:val="single" w:sz="4" w:space="0" w:color="auto"/>
            </w:tcBorders>
            <w:shd w:val="clear" w:color="auto" w:fill="auto"/>
            <w:noWrap/>
            <w:vAlign w:val="bottom"/>
            <w:hideMark/>
          </w:tcPr>
          <w:p w14:paraId="6045B7F8" w14:textId="77777777" w:rsidR="00162E37" w:rsidRPr="00162E37" w:rsidRDefault="00162E37" w:rsidP="00162E37">
            <w:pPr>
              <w:jc w:val="right"/>
              <w:rPr>
                <w:rFonts w:ascii="Arial" w:hAnsi="Arial" w:cs="Arial"/>
                <w:noProof w:val="0"/>
                <w:szCs w:val="22"/>
                <w:lang w:val="en-GB" w:eastAsia="en-GB"/>
              </w:rPr>
            </w:pPr>
            <w:r w:rsidRPr="00162E37">
              <w:rPr>
                <w:rFonts w:ascii="Arial" w:hAnsi="Arial" w:cs="Arial"/>
                <w:noProof w:val="0"/>
                <w:szCs w:val="22"/>
                <w:lang w:val="en-GB" w:eastAsia="en-GB"/>
              </w:rPr>
              <w:t>8.545</w:t>
            </w:r>
          </w:p>
        </w:tc>
        <w:tc>
          <w:tcPr>
            <w:tcW w:w="1310" w:type="dxa"/>
            <w:tcBorders>
              <w:top w:val="nil"/>
              <w:left w:val="nil"/>
              <w:bottom w:val="nil"/>
              <w:right w:val="single" w:sz="4" w:space="0" w:color="auto"/>
            </w:tcBorders>
            <w:shd w:val="clear" w:color="auto" w:fill="auto"/>
            <w:noWrap/>
            <w:vAlign w:val="bottom"/>
            <w:hideMark/>
          </w:tcPr>
          <w:p w14:paraId="6DAF914A" w14:textId="77777777" w:rsidR="00162E37" w:rsidRPr="00162E37" w:rsidRDefault="00162E37" w:rsidP="00162E37">
            <w:pPr>
              <w:jc w:val="right"/>
              <w:rPr>
                <w:rFonts w:ascii="Arial" w:hAnsi="Arial" w:cs="Arial"/>
                <w:noProof w:val="0"/>
                <w:szCs w:val="22"/>
                <w:lang w:val="en-GB" w:eastAsia="en-GB"/>
              </w:rPr>
            </w:pPr>
            <w:r w:rsidRPr="00162E37">
              <w:rPr>
                <w:rFonts w:ascii="Arial" w:hAnsi="Arial" w:cs="Arial"/>
                <w:noProof w:val="0"/>
                <w:szCs w:val="22"/>
                <w:lang w:val="en-GB" w:eastAsia="en-GB"/>
              </w:rPr>
              <w:t>18.035</w:t>
            </w:r>
          </w:p>
        </w:tc>
        <w:tc>
          <w:tcPr>
            <w:tcW w:w="1369" w:type="dxa"/>
            <w:tcBorders>
              <w:top w:val="nil"/>
              <w:left w:val="nil"/>
              <w:bottom w:val="nil"/>
              <w:right w:val="single" w:sz="8" w:space="0" w:color="auto"/>
            </w:tcBorders>
            <w:shd w:val="clear" w:color="auto" w:fill="auto"/>
            <w:noWrap/>
            <w:vAlign w:val="bottom"/>
            <w:hideMark/>
          </w:tcPr>
          <w:p w14:paraId="0365A8D1" w14:textId="77777777" w:rsidR="00162E37" w:rsidRPr="00162E37" w:rsidRDefault="00162E37" w:rsidP="00162E37">
            <w:pPr>
              <w:jc w:val="center"/>
              <w:rPr>
                <w:rFonts w:ascii="Arial" w:hAnsi="Arial" w:cs="Arial"/>
                <w:noProof w:val="0"/>
                <w:szCs w:val="22"/>
                <w:lang w:val="en-GB" w:eastAsia="en-GB"/>
              </w:rPr>
            </w:pPr>
            <w:r w:rsidRPr="00162E37">
              <w:rPr>
                <w:rFonts w:ascii="Arial" w:hAnsi="Arial" w:cs="Arial"/>
                <w:noProof w:val="0"/>
                <w:szCs w:val="22"/>
                <w:lang w:val="en-GB" w:eastAsia="en-GB"/>
              </w:rPr>
              <w:t>211,06</w:t>
            </w:r>
          </w:p>
        </w:tc>
      </w:tr>
      <w:tr w:rsidR="00162E37" w:rsidRPr="00162E37" w14:paraId="67D89C17" w14:textId="77777777" w:rsidTr="00162E37">
        <w:trPr>
          <w:trHeight w:val="300"/>
        </w:trPr>
        <w:tc>
          <w:tcPr>
            <w:tcW w:w="635" w:type="dxa"/>
            <w:tcBorders>
              <w:top w:val="nil"/>
              <w:left w:val="single" w:sz="8" w:space="0" w:color="auto"/>
              <w:bottom w:val="nil"/>
              <w:right w:val="nil"/>
            </w:tcBorders>
            <w:shd w:val="clear" w:color="000000" w:fill="E3FFFF"/>
            <w:noWrap/>
            <w:vAlign w:val="bottom"/>
            <w:hideMark/>
          </w:tcPr>
          <w:p w14:paraId="10CE0FD2" w14:textId="77777777" w:rsidR="00162E37" w:rsidRPr="00162E37" w:rsidRDefault="00162E37" w:rsidP="00162E37">
            <w:pPr>
              <w:jc w:val="center"/>
              <w:rPr>
                <w:rFonts w:ascii="Arial" w:hAnsi="Arial" w:cs="Arial"/>
                <w:noProof w:val="0"/>
                <w:szCs w:val="22"/>
                <w:lang w:val="en-GB" w:eastAsia="en-GB"/>
              </w:rPr>
            </w:pPr>
            <w:r w:rsidRPr="00162E37">
              <w:rPr>
                <w:rFonts w:ascii="Arial" w:hAnsi="Arial" w:cs="Arial"/>
                <w:noProof w:val="0"/>
                <w:szCs w:val="22"/>
                <w:lang w:val="en-GB" w:eastAsia="en-GB"/>
              </w:rPr>
              <w:t>105</w:t>
            </w:r>
          </w:p>
        </w:tc>
        <w:tc>
          <w:tcPr>
            <w:tcW w:w="4604" w:type="dxa"/>
            <w:tcBorders>
              <w:top w:val="nil"/>
              <w:left w:val="single" w:sz="4" w:space="0" w:color="auto"/>
              <w:bottom w:val="nil"/>
              <w:right w:val="single" w:sz="4" w:space="0" w:color="auto"/>
            </w:tcBorders>
            <w:shd w:val="clear" w:color="000000" w:fill="E3FFFF"/>
            <w:noWrap/>
            <w:vAlign w:val="bottom"/>
            <w:hideMark/>
          </w:tcPr>
          <w:p w14:paraId="4C41A043" w14:textId="77777777" w:rsidR="00162E37" w:rsidRPr="00162E37" w:rsidRDefault="00162E37" w:rsidP="00162E37">
            <w:pPr>
              <w:rPr>
                <w:rFonts w:ascii="Arial" w:hAnsi="Arial" w:cs="Arial"/>
                <w:noProof w:val="0"/>
                <w:szCs w:val="22"/>
                <w:lang w:val="en-GB" w:eastAsia="en-GB"/>
              </w:rPr>
            </w:pPr>
            <w:proofErr w:type="spellStart"/>
            <w:r w:rsidRPr="00162E37">
              <w:rPr>
                <w:rFonts w:ascii="Arial" w:hAnsi="Arial" w:cs="Arial"/>
                <w:noProof w:val="0"/>
                <w:szCs w:val="22"/>
                <w:lang w:val="en-GB" w:eastAsia="en-GB"/>
              </w:rPr>
              <w:t>Prihodi</w:t>
            </w:r>
            <w:proofErr w:type="spellEnd"/>
            <w:r w:rsidRPr="00162E37">
              <w:rPr>
                <w:rFonts w:ascii="Arial" w:hAnsi="Arial" w:cs="Arial"/>
                <w:noProof w:val="0"/>
                <w:szCs w:val="22"/>
                <w:lang w:val="en-GB" w:eastAsia="en-GB"/>
              </w:rPr>
              <w:t xml:space="preserve"> po </w:t>
            </w:r>
            <w:proofErr w:type="spellStart"/>
            <w:r w:rsidRPr="00162E37">
              <w:rPr>
                <w:rFonts w:ascii="Arial" w:hAnsi="Arial" w:cs="Arial"/>
                <w:noProof w:val="0"/>
                <w:szCs w:val="22"/>
                <w:lang w:val="en-GB" w:eastAsia="en-GB"/>
              </w:rPr>
              <w:t>posebnim</w:t>
            </w:r>
            <w:proofErr w:type="spellEnd"/>
            <w:r w:rsidRPr="00162E37">
              <w:rPr>
                <w:rFonts w:ascii="Arial" w:hAnsi="Arial" w:cs="Arial"/>
                <w:noProof w:val="0"/>
                <w:szCs w:val="22"/>
                <w:lang w:val="en-GB" w:eastAsia="en-GB"/>
              </w:rPr>
              <w:t xml:space="preserve"> </w:t>
            </w:r>
            <w:proofErr w:type="spellStart"/>
            <w:r w:rsidRPr="00162E37">
              <w:rPr>
                <w:rFonts w:ascii="Arial" w:hAnsi="Arial" w:cs="Arial"/>
                <w:noProof w:val="0"/>
                <w:szCs w:val="22"/>
                <w:lang w:val="en-GB" w:eastAsia="en-GB"/>
              </w:rPr>
              <w:t>propisima</w:t>
            </w:r>
            <w:proofErr w:type="spellEnd"/>
          </w:p>
        </w:tc>
        <w:tc>
          <w:tcPr>
            <w:tcW w:w="1468" w:type="dxa"/>
            <w:tcBorders>
              <w:top w:val="nil"/>
              <w:left w:val="nil"/>
              <w:bottom w:val="nil"/>
              <w:right w:val="single" w:sz="4" w:space="0" w:color="auto"/>
            </w:tcBorders>
            <w:shd w:val="clear" w:color="auto" w:fill="auto"/>
            <w:noWrap/>
            <w:vAlign w:val="bottom"/>
            <w:hideMark/>
          </w:tcPr>
          <w:p w14:paraId="0CAE144B" w14:textId="77777777" w:rsidR="00162E37" w:rsidRPr="00162E37" w:rsidRDefault="00162E37" w:rsidP="00162E37">
            <w:pPr>
              <w:jc w:val="right"/>
              <w:rPr>
                <w:rFonts w:ascii="Arial" w:hAnsi="Arial" w:cs="Arial"/>
                <w:noProof w:val="0"/>
                <w:szCs w:val="22"/>
                <w:lang w:val="en-GB" w:eastAsia="en-GB"/>
              </w:rPr>
            </w:pPr>
            <w:r w:rsidRPr="00162E37">
              <w:rPr>
                <w:rFonts w:ascii="Arial" w:hAnsi="Arial" w:cs="Arial"/>
                <w:noProof w:val="0"/>
                <w:szCs w:val="22"/>
                <w:lang w:val="en-GB" w:eastAsia="en-GB"/>
              </w:rPr>
              <w:t>8.830.217</w:t>
            </w:r>
          </w:p>
        </w:tc>
        <w:tc>
          <w:tcPr>
            <w:tcW w:w="1310" w:type="dxa"/>
            <w:tcBorders>
              <w:top w:val="nil"/>
              <w:left w:val="nil"/>
              <w:bottom w:val="nil"/>
              <w:right w:val="single" w:sz="4" w:space="0" w:color="auto"/>
            </w:tcBorders>
            <w:shd w:val="clear" w:color="auto" w:fill="auto"/>
            <w:noWrap/>
            <w:vAlign w:val="bottom"/>
            <w:hideMark/>
          </w:tcPr>
          <w:p w14:paraId="0D4D2E95" w14:textId="77777777" w:rsidR="00162E37" w:rsidRPr="00162E37" w:rsidRDefault="00162E37" w:rsidP="00162E37">
            <w:pPr>
              <w:jc w:val="right"/>
              <w:rPr>
                <w:rFonts w:ascii="Arial" w:hAnsi="Arial" w:cs="Arial"/>
                <w:noProof w:val="0"/>
                <w:szCs w:val="22"/>
                <w:lang w:val="en-GB" w:eastAsia="en-GB"/>
              </w:rPr>
            </w:pPr>
            <w:r w:rsidRPr="00162E37">
              <w:rPr>
                <w:rFonts w:ascii="Arial" w:hAnsi="Arial" w:cs="Arial"/>
                <w:noProof w:val="0"/>
                <w:szCs w:val="22"/>
                <w:lang w:val="en-GB" w:eastAsia="en-GB"/>
              </w:rPr>
              <w:t>19.246.701</w:t>
            </w:r>
          </w:p>
        </w:tc>
        <w:tc>
          <w:tcPr>
            <w:tcW w:w="1369" w:type="dxa"/>
            <w:tcBorders>
              <w:top w:val="nil"/>
              <w:left w:val="nil"/>
              <w:bottom w:val="nil"/>
              <w:right w:val="single" w:sz="8" w:space="0" w:color="auto"/>
            </w:tcBorders>
            <w:shd w:val="clear" w:color="auto" w:fill="auto"/>
            <w:noWrap/>
            <w:vAlign w:val="bottom"/>
            <w:hideMark/>
          </w:tcPr>
          <w:p w14:paraId="6500B97B" w14:textId="77777777" w:rsidR="00162E37" w:rsidRPr="00162E37" w:rsidRDefault="00162E37" w:rsidP="00162E37">
            <w:pPr>
              <w:jc w:val="center"/>
              <w:rPr>
                <w:rFonts w:ascii="Arial" w:hAnsi="Arial" w:cs="Arial"/>
                <w:noProof w:val="0"/>
                <w:szCs w:val="22"/>
                <w:lang w:val="en-GB" w:eastAsia="en-GB"/>
              </w:rPr>
            </w:pPr>
            <w:r w:rsidRPr="00162E37">
              <w:rPr>
                <w:rFonts w:ascii="Arial" w:hAnsi="Arial" w:cs="Arial"/>
                <w:noProof w:val="0"/>
                <w:szCs w:val="22"/>
                <w:lang w:val="en-GB" w:eastAsia="en-GB"/>
              </w:rPr>
              <w:t>217,96</w:t>
            </w:r>
          </w:p>
        </w:tc>
      </w:tr>
      <w:tr w:rsidR="00162E37" w:rsidRPr="00162E37" w14:paraId="60F0B98D" w14:textId="77777777" w:rsidTr="00162E37">
        <w:trPr>
          <w:trHeight w:val="300"/>
        </w:trPr>
        <w:tc>
          <w:tcPr>
            <w:tcW w:w="635" w:type="dxa"/>
            <w:tcBorders>
              <w:top w:val="nil"/>
              <w:left w:val="single" w:sz="8" w:space="0" w:color="auto"/>
              <w:bottom w:val="nil"/>
              <w:right w:val="nil"/>
            </w:tcBorders>
            <w:shd w:val="clear" w:color="000000" w:fill="E3FFFF"/>
            <w:noWrap/>
            <w:vAlign w:val="bottom"/>
            <w:hideMark/>
          </w:tcPr>
          <w:p w14:paraId="7BE91A95" w14:textId="77777777" w:rsidR="00162E37" w:rsidRPr="00162E37" w:rsidRDefault="00162E37" w:rsidP="00162E37">
            <w:pPr>
              <w:jc w:val="center"/>
              <w:rPr>
                <w:rFonts w:ascii="Arial" w:hAnsi="Arial" w:cs="Arial"/>
                <w:noProof w:val="0"/>
                <w:szCs w:val="22"/>
                <w:lang w:val="en-GB" w:eastAsia="en-GB"/>
              </w:rPr>
            </w:pPr>
            <w:r w:rsidRPr="00162E37">
              <w:rPr>
                <w:rFonts w:ascii="Arial" w:hAnsi="Arial" w:cs="Arial"/>
                <w:noProof w:val="0"/>
                <w:szCs w:val="22"/>
                <w:lang w:val="en-GB" w:eastAsia="en-GB"/>
              </w:rPr>
              <w:t>123</w:t>
            </w:r>
          </w:p>
        </w:tc>
        <w:tc>
          <w:tcPr>
            <w:tcW w:w="4604" w:type="dxa"/>
            <w:tcBorders>
              <w:top w:val="nil"/>
              <w:left w:val="single" w:sz="4" w:space="0" w:color="auto"/>
              <w:bottom w:val="nil"/>
              <w:right w:val="single" w:sz="4" w:space="0" w:color="auto"/>
            </w:tcBorders>
            <w:shd w:val="clear" w:color="000000" w:fill="E3FFFF"/>
            <w:noWrap/>
            <w:vAlign w:val="bottom"/>
            <w:hideMark/>
          </w:tcPr>
          <w:p w14:paraId="38ADCC7A" w14:textId="77777777" w:rsidR="00162E37" w:rsidRPr="00162E37" w:rsidRDefault="00162E37" w:rsidP="00162E37">
            <w:pPr>
              <w:rPr>
                <w:rFonts w:ascii="Arial" w:hAnsi="Arial" w:cs="Arial"/>
                <w:noProof w:val="0"/>
                <w:szCs w:val="22"/>
                <w:lang w:val="en-GB" w:eastAsia="en-GB"/>
              </w:rPr>
            </w:pPr>
            <w:proofErr w:type="spellStart"/>
            <w:r w:rsidRPr="00162E37">
              <w:rPr>
                <w:rFonts w:ascii="Arial" w:hAnsi="Arial" w:cs="Arial"/>
                <w:noProof w:val="0"/>
                <w:szCs w:val="22"/>
                <w:lang w:val="en-GB" w:eastAsia="en-GB"/>
              </w:rPr>
              <w:t>Prihodi</w:t>
            </w:r>
            <w:proofErr w:type="spellEnd"/>
            <w:r w:rsidRPr="00162E37">
              <w:rPr>
                <w:rFonts w:ascii="Arial" w:hAnsi="Arial" w:cs="Arial"/>
                <w:noProof w:val="0"/>
                <w:szCs w:val="22"/>
                <w:lang w:val="en-GB" w:eastAsia="en-GB"/>
              </w:rPr>
              <w:t xml:space="preserve"> od </w:t>
            </w:r>
            <w:proofErr w:type="spellStart"/>
            <w:r w:rsidRPr="00162E37">
              <w:rPr>
                <w:rFonts w:ascii="Arial" w:hAnsi="Arial" w:cs="Arial"/>
                <w:noProof w:val="0"/>
                <w:szCs w:val="22"/>
                <w:lang w:val="en-GB" w:eastAsia="en-GB"/>
              </w:rPr>
              <w:t>prodaje</w:t>
            </w:r>
            <w:proofErr w:type="spellEnd"/>
            <w:r w:rsidRPr="00162E37">
              <w:rPr>
                <w:rFonts w:ascii="Arial" w:hAnsi="Arial" w:cs="Arial"/>
                <w:noProof w:val="0"/>
                <w:szCs w:val="22"/>
                <w:lang w:val="en-GB" w:eastAsia="en-GB"/>
              </w:rPr>
              <w:t xml:space="preserve"> </w:t>
            </w:r>
            <w:proofErr w:type="spellStart"/>
            <w:r w:rsidRPr="00162E37">
              <w:rPr>
                <w:rFonts w:ascii="Arial" w:hAnsi="Arial" w:cs="Arial"/>
                <w:noProof w:val="0"/>
                <w:szCs w:val="22"/>
                <w:lang w:val="en-GB" w:eastAsia="en-GB"/>
              </w:rPr>
              <w:t>proizvoda</w:t>
            </w:r>
            <w:proofErr w:type="spellEnd"/>
            <w:r w:rsidRPr="00162E37">
              <w:rPr>
                <w:rFonts w:ascii="Arial" w:hAnsi="Arial" w:cs="Arial"/>
                <w:noProof w:val="0"/>
                <w:szCs w:val="22"/>
                <w:lang w:val="en-GB" w:eastAsia="en-GB"/>
              </w:rPr>
              <w:t xml:space="preserve"> </w:t>
            </w:r>
            <w:proofErr w:type="spellStart"/>
            <w:r w:rsidRPr="00162E37">
              <w:rPr>
                <w:rFonts w:ascii="Arial" w:hAnsi="Arial" w:cs="Arial"/>
                <w:noProof w:val="0"/>
                <w:szCs w:val="22"/>
                <w:lang w:val="en-GB" w:eastAsia="en-GB"/>
              </w:rPr>
              <w:t>i</w:t>
            </w:r>
            <w:proofErr w:type="spellEnd"/>
            <w:r w:rsidRPr="00162E37">
              <w:rPr>
                <w:rFonts w:ascii="Arial" w:hAnsi="Arial" w:cs="Arial"/>
                <w:noProof w:val="0"/>
                <w:szCs w:val="22"/>
                <w:lang w:val="en-GB" w:eastAsia="en-GB"/>
              </w:rPr>
              <w:t xml:space="preserve"> </w:t>
            </w:r>
            <w:proofErr w:type="spellStart"/>
            <w:r w:rsidRPr="00162E37">
              <w:rPr>
                <w:rFonts w:ascii="Arial" w:hAnsi="Arial" w:cs="Arial"/>
                <w:noProof w:val="0"/>
                <w:szCs w:val="22"/>
                <w:lang w:val="en-GB" w:eastAsia="en-GB"/>
              </w:rPr>
              <w:t>usluga</w:t>
            </w:r>
            <w:proofErr w:type="spellEnd"/>
            <w:r w:rsidRPr="00162E37">
              <w:rPr>
                <w:rFonts w:ascii="Arial" w:hAnsi="Arial" w:cs="Arial"/>
                <w:noProof w:val="0"/>
                <w:szCs w:val="22"/>
                <w:lang w:val="en-GB" w:eastAsia="en-GB"/>
              </w:rPr>
              <w:t xml:space="preserve"> </w:t>
            </w:r>
            <w:proofErr w:type="spellStart"/>
            <w:r w:rsidRPr="00162E37">
              <w:rPr>
                <w:rFonts w:ascii="Arial" w:hAnsi="Arial" w:cs="Arial"/>
                <w:noProof w:val="0"/>
                <w:szCs w:val="22"/>
                <w:lang w:val="en-GB" w:eastAsia="en-GB"/>
              </w:rPr>
              <w:t>i</w:t>
            </w:r>
            <w:proofErr w:type="spellEnd"/>
            <w:r w:rsidRPr="00162E37">
              <w:rPr>
                <w:rFonts w:ascii="Arial" w:hAnsi="Arial" w:cs="Arial"/>
                <w:noProof w:val="0"/>
                <w:szCs w:val="22"/>
                <w:lang w:val="en-GB" w:eastAsia="en-GB"/>
              </w:rPr>
              <w:t xml:space="preserve"> </w:t>
            </w:r>
            <w:proofErr w:type="spellStart"/>
            <w:r w:rsidRPr="00162E37">
              <w:rPr>
                <w:rFonts w:ascii="Arial" w:hAnsi="Arial" w:cs="Arial"/>
                <w:noProof w:val="0"/>
                <w:szCs w:val="22"/>
                <w:lang w:val="en-GB" w:eastAsia="en-GB"/>
              </w:rPr>
              <w:t>donacija</w:t>
            </w:r>
            <w:proofErr w:type="spellEnd"/>
          </w:p>
        </w:tc>
        <w:tc>
          <w:tcPr>
            <w:tcW w:w="1468" w:type="dxa"/>
            <w:tcBorders>
              <w:top w:val="nil"/>
              <w:left w:val="nil"/>
              <w:bottom w:val="nil"/>
              <w:right w:val="single" w:sz="4" w:space="0" w:color="auto"/>
            </w:tcBorders>
            <w:shd w:val="clear" w:color="auto" w:fill="auto"/>
            <w:noWrap/>
            <w:vAlign w:val="bottom"/>
            <w:hideMark/>
          </w:tcPr>
          <w:p w14:paraId="7E8A3204" w14:textId="77777777" w:rsidR="00162E37" w:rsidRPr="00162E37" w:rsidRDefault="00162E37" w:rsidP="00162E37">
            <w:pPr>
              <w:jc w:val="right"/>
              <w:rPr>
                <w:rFonts w:ascii="Arial" w:hAnsi="Arial" w:cs="Arial"/>
                <w:noProof w:val="0"/>
                <w:szCs w:val="22"/>
                <w:lang w:val="en-GB" w:eastAsia="en-GB"/>
              </w:rPr>
            </w:pPr>
            <w:r w:rsidRPr="00162E37">
              <w:rPr>
                <w:rFonts w:ascii="Arial" w:hAnsi="Arial" w:cs="Arial"/>
                <w:noProof w:val="0"/>
                <w:szCs w:val="22"/>
                <w:lang w:val="en-GB" w:eastAsia="en-GB"/>
              </w:rPr>
              <w:t>24.310.580</w:t>
            </w:r>
          </w:p>
        </w:tc>
        <w:tc>
          <w:tcPr>
            <w:tcW w:w="1310" w:type="dxa"/>
            <w:tcBorders>
              <w:top w:val="nil"/>
              <w:left w:val="nil"/>
              <w:bottom w:val="nil"/>
              <w:right w:val="single" w:sz="4" w:space="0" w:color="auto"/>
            </w:tcBorders>
            <w:shd w:val="clear" w:color="auto" w:fill="auto"/>
            <w:noWrap/>
            <w:vAlign w:val="bottom"/>
            <w:hideMark/>
          </w:tcPr>
          <w:p w14:paraId="16ADD185" w14:textId="77777777" w:rsidR="00162E37" w:rsidRPr="00162E37" w:rsidRDefault="00162E37" w:rsidP="00162E37">
            <w:pPr>
              <w:jc w:val="right"/>
              <w:rPr>
                <w:rFonts w:ascii="Arial" w:hAnsi="Arial" w:cs="Arial"/>
                <w:noProof w:val="0"/>
                <w:szCs w:val="22"/>
                <w:lang w:val="en-GB" w:eastAsia="en-GB"/>
              </w:rPr>
            </w:pPr>
            <w:r w:rsidRPr="00162E37">
              <w:rPr>
                <w:rFonts w:ascii="Arial" w:hAnsi="Arial" w:cs="Arial"/>
                <w:noProof w:val="0"/>
                <w:szCs w:val="22"/>
                <w:lang w:val="en-GB" w:eastAsia="en-GB"/>
              </w:rPr>
              <w:t>42.509.462</w:t>
            </w:r>
          </w:p>
        </w:tc>
        <w:tc>
          <w:tcPr>
            <w:tcW w:w="1369" w:type="dxa"/>
            <w:tcBorders>
              <w:top w:val="nil"/>
              <w:left w:val="nil"/>
              <w:bottom w:val="nil"/>
              <w:right w:val="single" w:sz="8" w:space="0" w:color="auto"/>
            </w:tcBorders>
            <w:shd w:val="clear" w:color="auto" w:fill="auto"/>
            <w:noWrap/>
            <w:vAlign w:val="bottom"/>
            <w:hideMark/>
          </w:tcPr>
          <w:p w14:paraId="254B9DC8" w14:textId="77777777" w:rsidR="00162E37" w:rsidRPr="00162E37" w:rsidRDefault="00162E37" w:rsidP="00162E37">
            <w:pPr>
              <w:jc w:val="center"/>
              <w:rPr>
                <w:rFonts w:ascii="Arial" w:hAnsi="Arial" w:cs="Arial"/>
                <w:noProof w:val="0"/>
                <w:szCs w:val="22"/>
                <w:lang w:val="en-GB" w:eastAsia="en-GB"/>
              </w:rPr>
            </w:pPr>
            <w:r w:rsidRPr="00162E37">
              <w:rPr>
                <w:rFonts w:ascii="Arial" w:hAnsi="Arial" w:cs="Arial"/>
                <w:noProof w:val="0"/>
                <w:szCs w:val="22"/>
                <w:lang w:val="en-GB" w:eastAsia="en-GB"/>
              </w:rPr>
              <w:t>174,86</w:t>
            </w:r>
          </w:p>
        </w:tc>
      </w:tr>
      <w:tr w:rsidR="00162E37" w:rsidRPr="00162E37" w14:paraId="46F8616C" w14:textId="77777777" w:rsidTr="00162E37">
        <w:trPr>
          <w:trHeight w:val="300"/>
        </w:trPr>
        <w:tc>
          <w:tcPr>
            <w:tcW w:w="635" w:type="dxa"/>
            <w:tcBorders>
              <w:top w:val="nil"/>
              <w:left w:val="single" w:sz="8" w:space="0" w:color="auto"/>
              <w:bottom w:val="nil"/>
              <w:right w:val="nil"/>
            </w:tcBorders>
            <w:shd w:val="clear" w:color="000000" w:fill="E3FFFF"/>
            <w:noWrap/>
            <w:vAlign w:val="bottom"/>
            <w:hideMark/>
          </w:tcPr>
          <w:p w14:paraId="0E0B4366" w14:textId="77777777" w:rsidR="00162E37" w:rsidRPr="00162E37" w:rsidRDefault="00162E37" w:rsidP="00162E37">
            <w:pPr>
              <w:jc w:val="center"/>
              <w:rPr>
                <w:rFonts w:ascii="Arial" w:hAnsi="Arial" w:cs="Arial"/>
                <w:noProof w:val="0"/>
                <w:szCs w:val="22"/>
                <w:lang w:val="en-GB" w:eastAsia="en-GB"/>
              </w:rPr>
            </w:pPr>
            <w:r w:rsidRPr="00162E37">
              <w:rPr>
                <w:rFonts w:ascii="Arial" w:hAnsi="Arial" w:cs="Arial"/>
                <w:noProof w:val="0"/>
                <w:szCs w:val="22"/>
                <w:lang w:val="en-GB" w:eastAsia="en-GB"/>
              </w:rPr>
              <w:t>130</w:t>
            </w:r>
          </w:p>
        </w:tc>
        <w:tc>
          <w:tcPr>
            <w:tcW w:w="4604" w:type="dxa"/>
            <w:tcBorders>
              <w:top w:val="nil"/>
              <w:left w:val="single" w:sz="4" w:space="0" w:color="auto"/>
              <w:bottom w:val="nil"/>
              <w:right w:val="single" w:sz="4" w:space="0" w:color="auto"/>
            </w:tcBorders>
            <w:shd w:val="clear" w:color="000000" w:fill="E3FFFF"/>
            <w:noWrap/>
            <w:vAlign w:val="bottom"/>
            <w:hideMark/>
          </w:tcPr>
          <w:p w14:paraId="6125461E" w14:textId="77777777" w:rsidR="00162E37" w:rsidRPr="00162E37" w:rsidRDefault="00162E37" w:rsidP="00162E37">
            <w:pPr>
              <w:rPr>
                <w:rFonts w:ascii="Arial" w:hAnsi="Arial" w:cs="Arial"/>
                <w:noProof w:val="0"/>
                <w:szCs w:val="22"/>
                <w:lang w:val="en-GB" w:eastAsia="en-GB"/>
              </w:rPr>
            </w:pPr>
            <w:proofErr w:type="spellStart"/>
            <w:r w:rsidRPr="00162E37">
              <w:rPr>
                <w:rFonts w:ascii="Arial" w:hAnsi="Arial" w:cs="Arial"/>
                <w:noProof w:val="0"/>
                <w:szCs w:val="22"/>
                <w:lang w:val="en-GB" w:eastAsia="en-GB"/>
              </w:rPr>
              <w:t>Prihodi</w:t>
            </w:r>
            <w:proofErr w:type="spellEnd"/>
            <w:r w:rsidRPr="00162E37">
              <w:rPr>
                <w:rFonts w:ascii="Arial" w:hAnsi="Arial" w:cs="Arial"/>
                <w:noProof w:val="0"/>
                <w:szCs w:val="22"/>
                <w:lang w:val="en-GB" w:eastAsia="en-GB"/>
              </w:rPr>
              <w:t xml:space="preserve"> </w:t>
            </w:r>
            <w:proofErr w:type="spellStart"/>
            <w:r w:rsidRPr="00162E37">
              <w:rPr>
                <w:rFonts w:ascii="Arial" w:hAnsi="Arial" w:cs="Arial"/>
                <w:noProof w:val="0"/>
                <w:szCs w:val="22"/>
                <w:lang w:val="en-GB" w:eastAsia="en-GB"/>
              </w:rPr>
              <w:t>iz</w:t>
            </w:r>
            <w:proofErr w:type="spellEnd"/>
            <w:r w:rsidRPr="00162E37">
              <w:rPr>
                <w:rFonts w:ascii="Arial" w:hAnsi="Arial" w:cs="Arial"/>
                <w:noProof w:val="0"/>
                <w:szCs w:val="22"/>
                <w:lang w:val="en-GB" w:eastAsia="en-GB"/>
              </w:rPr>
              <w:t xml:space="preserve"> </w:t>
            </w:r>
            <w:proofErr w:type="spellStart"/>
            <w:r w:rsidRPr="00162E37">
              <w:rPr>
                <w:rFonts w:ascii="Arial" w:hAnsi="Arial" w:cs="Arial"/>
                <w:noProof w:val="0"/>
                <w:szCs w:val="22"/>
                <w:lang w:val="en-GB" w:eastAsia="en-GB"/>
              </w:rPr>
              <w:t>proračuna</w:t>
            </w:r>
            <w:proofErr w:type="spellEnd"/>
          </w:p>
        </w:tc>
        <w:tc>
          <w:tcPr>
            <w:tcW w:w="1468" w:type="dxa"/>
            <w:tcBorders>
              <w:top w:val="nil"/>
              <w:left w:val="nil"/>
              <w:bottom w:val="nil"/>
              <w:right w:val="single" w:sz="4" w:space="0" w:color="auto"/>
            </w:tcBorders>
            <w:shd w:val="clear" w:color="auto" w:fill="auto"/>
            <w:noWrap/>
            <w:vAlign w:val="bottom"/>
            <w:hideMark/>
          </w:tcPr>
          <w:p w14:paraId="6DFFD13A" w14:textId="77777777" w:rsidR="00162E37" w:rsidRPr="00162E37" w:rsidRDefault="00162E37" w:rsidP="00162E37">
            <w:pPr>
              <w:jc w:val="right"/>
              <w:rPr>
                <w:rFonts w:ascii="Arial" w:hAnsi="Arial" w:cs="Arial"/>
                <w:noProof w:val="0"/>
                <w:szCs w:val="22"/>
                <w:lang w:val="en-GB" w:eastAsia="en-GB"/>
              </w:rPr>
            </w:pPr>
            <w:r w:rsidRPr="00162E37">
              <w:rPr>
                <w:rFonts w:ascii="Arial" w:hAnsi="Arial" w:cs="Arial"/>
                <w:noProof w:val="0"/>
                <w:szCs w:val="22"/>
                <w:lang w:val="en-GB" w:eastAsia="en-GB"/>
              </w:rPr>
              <w:t>2.700.000</w:t>
            </w:r>
          </w:p>
        </w:tc>
        <w:tc>
          <w:tcPr>
            <w:tcW w:w="1310" w:type="dxa"/>
            <w:tcBorders>
              <w:top w:val="nil"/>
              <w:left w:val="nil"/>
              <w:bottom w:val="nil"/>
              <w:right w:val="single" w:sz="4" w:space="0" w:color="auto"/>
            </w:tcBorders>
            <w:shd w:val="clear" w:color="auto" w:fill="auto"/>
            <w:noWrap/>
            <w:vAlign w:val="bottom"/>
            <w:hideMark/>
          </w:tcPr>
          <w:p w14:paraId="0A0A803B" w14:textId="77777777" w:rsidR="00162E37" w:rsidRPr="00162E37" w:rsidRDefault="00162E37" w:rsidP="00162E37">
            <w:pPr>
              <w:jc w:val="right"/>
              <w:rPr>
                <w:rFonts w:ascii="Arial" w:hAnsi="Arial" w:cs="Arial"/>
                <w:noProof w:val="0"/>
                <w:szCs w:val="22"/>
                <w:lang w:val="en-GB" w:eastAsia="en-GB"/>
              </w:rPr>
            </w:pPr>
            <w:r w:rsidRPr="00162E37">
              <w:rPr>
                <w:rFonts w:ascii="Arial" w:hAnsi="Arial" w:cs="Arial"/>
                <w:noProof w:val="0"/>
                <w:szCs w:val="22"/>
                <w:lang w:val="en-GB" w:eastAsia="en-GB"/>
              </w:rPr>
              <w:t>8.000.000</w:t>
            </w:r>
          </w:p>
        </w:tc>
        <w:tc>
          <w:tcPr>
            <w:tcW w:w="1369" w:type="dxa"/>
            <w:tcBorders>
              <w:top w:val="nil"/>
              <w:left w:val="nil"/>
              <w:bottom w:val="nil"/>
              <w:right w:val="single" w:sz="8" w:space="0" w:color="auto"/>
            </w:tcBorders>
            <w:shd w:val="clear" w:color="auto" w:fill="auto"/>
            <w:noWrap/>
            <w:vAlign w:val="bottom"/>
            <w:hideMark/>
          </w:tcPr>
          <w:p w14:paraId="4FE6091C" w14:textId="77777777" w:rsidR="00162E37" w:rsidRPr="00162E37" w:rsidRDefault="00162E37" w:rsidP="00162E37">
            <w:pPr>
              <w:jc w:val="center"/>
              <w:rPr>
                <w:rFonts w:ascii="Arial" w:hAnsi="Arial" w:cs="Arial"/>
                <w:noProof w:val="0"/>
                <w:szCs w:val="22"/>
                <w:lang w:val="en-GB" w:eastAsia="en-GB"/>
              </w:rPr>
            </w:pPr>
            <w:r w:rsidRPr="00162E37">
              <w:rPr>
                <w:rFonts w:ascii="Arial" w:hAnsi="Arial" w:cs="Arial"/>
                <w:noProof w:val="0"/>
                <w:szCs w:val="22"/>
                <w:lang w:val="en-GB" w:eastAsia="en-GB"/>
              </w:rPr>
              <w:t>296,30</w:t>
            </w:r>
          </w:p>
        </w:tc>
      </w:tr>
      <w:tr w:rsidR="00162E37" w:rsidRPr="00162E37" w14:paraId="213A831C" w14:textId="77777777" w:rsidTr="00162E37">
        <w:trPr>
          <w:trHeight w:val="300"/>
        </w:trPr>
        <w:tc>
          <w:tcPr>
            <w:tcW w:w="635" w:type="dxa"/>
            <w:tcBorders>
              <w:top w:val="nil"/>
              <w:left w:val="single" w:sz="8" w:space="0" w:color="auto"/>
              <w:bottom w:val="nil"/>
              <w:right w:val="nil"/>
            </w:tcBorders>
            <w:shd w:val="clear" w:color="000000" w:fill="E3FFFF"/>
            <w:noWrap/>
            <w:vAlign w:val="bottom"/>
            <w:hideMark/>
          </w:tcPr>
          <w:p w14:paraId="41BE3571" w14:textId="0CC9F541" w:rsidR="00162E37" w:rsidRPr="00162E37" w:rsidRDefault="00162E37" w:rsidP="00162E37">
            <w:pPr>
              <w:jc w:val="center"/>
              <w:rPr>
                <w:rFonts w:ascii="Arial" w:hAnsi="Arial" w:cs="Arial"/>
                <w:noProof w:val="0"/>
                <w:szCs w:val="22"/>
                <w:lang w:val="en-GB" w:eastAsia="en-GB"/>
              </w:rPr>
            </w:pPr>
            <w:r w:rsidRPr="00162E37">
              <w:rPr>
                <w:rFonts w:ascii="Arial" w:hAnsi="Arial" w:cs="Arial"/>
                <w:noProof w:val="0"/>
                <w:szCs w:val="22"/>
                <w:lang w:val="en-GB" w:eastAsia="en-GB"/>
              </w:rPr>
              <w:t>13</w:t>
            </w:r>
            <w:r w:rsidR="00580805">
              <w:rPr>
                <w:rFonts w:ascii="Arial" w:hAnsi="Arial" w:cs="Arial"/>
                <w:noProof w:val="0"/>
                <w:szCs w:val="22"/>
                <w:lang w:val="en-GB" w:eastAsia="en-GB"/>
              </w:rPr>
              <w:t>4</w:t>
            </w:r>
          </w:p>
        </w:tc>
        <w:tc>
          <w:tcPr>
            <w:tcW w:w="4604" w:type="dxa"/>
            <w:tcBorders>
              <w:top w:val="nil"/>
              <w:left w:val="single" w:sz="4" w:space="0" w:color="auto"/>
              <w:bottom w:val="nil"/>
              <w:right w:val="single" w:sz="4" w:space="0" w:color="auto"/>
            </w:tcBorders>
            <w:shd w:val="clear" w:color="000000" w:fill="E3FFFF"/>
            <w:noWrap/>
            <w:vAlign w:val="bottom"/>
            <w:hideMark/>
          </w:tcPr>
          <w:p w14:paraId="3914F549" w14:textId="77777777" w:rsidR="00162E37" w:rsidRPr="00162E37" w:rsidRDefault="00162E37" w:rsidP="00162E37">
            <w:pPr>
              <w:rPr>
                <w:rFonts w:ascii="Arial" w:hAnsi="Arial" w:cs="Arial"/>
                <w:noProof w:val="0"/>
                <w:szCs w:val="22"/>
                <w:lang w:val="en-GB" w:eastAsia="en-GB"/>
              </w:rPr>
            </w:pPr>
            <w:proofErr w:type="spellStart"/>
            <w:r w:rsidRPr="00162E37">
              <w:rPr>
                <w:rFonts w:ascii="Arial" w:hAnsi="Arial" w:cs="Arial"/>
                <w:noProof w:val="0"/>
                <w:szCs w:val="22"/>
                <w:lang w:val="en-GB" w:eastAsia="en-GB"/>
              </w:rPr>
              <w:t>Kazne</w:t>
            </w:r>
            <w:proofErr w:type="spellEnd"/>
            <w:r w:rsidRPr="00162E37">
              <w:rPr>
                <w:rFonts w:ascii="Arial" w:hAnsi="Arial" w:cs="Arial"/>
                <w:noProof w:val="0"/>
                <w:szCs w:val="22"/>
                <w:lang w:val="en-GB" w:eastAsia="en-GB"/>
              </w:rPr>
              <w:t xml:space="preserve">, </w:t>
            </w:r>
            <w:proofErr w:type="spellStart"/>
            <w:r w:rsidRPr="00162E37">
              <w:rPr>
                <w:rFonts w:ascii="Arial" w:hAnsi="Arial" w:cs="Arial"/>
                <w:noProof w:val="0"/>
                <w:szCs w:val="22"/>
                <w:lang w:val="en-GB" w:eastAsia="en-GB"/>
              </w:rPr>
              <w:t>upravne</w:t>
            </w:r>
            <w:proofErr w:type="spellEnd"/>
            <w:r w:rsidRPr="00162E37">
              <w:rPr>
                <w:rFonts w:ascii="Arial" w:hAnsi="Arial" w:cs="Arial"/>
                <w:noProof w:val="0"/>
                <w:szCs w:val="22"/>
                <w:lang w:val="en-GB" w:eastAsia="en-GB"/>
              </w:rPr>
              <w:t xml:space="preserve"> </w:t>
            </w:r>
            <w:proofErr w:type="spellStart"/>
            <w:r w:rsidRPr="00162E37">
              <w:rPr>
                <w:rFonts w:ascii="Arial" w:hAnsi="Arial" w:cs="Arial"/>
                <w:noProof w:val="0"/>
                <w:szCs w:val="22"/>
                <w:lang w:val="en-GB" w:eastAsia="en-GB"/>
              </w:rPr>
              <w:t>mjere</w:t>
            </w:r>
            <w:proofErr w:type="spellEnd"/>
            <w:r w:rsidRPr="00162E37">
              <w:rPr>
                <w:rFonts w:ascii="Arial" w:hAnsi="Arial" w:cs="Arial"/>
                <w:noProof w:val="0"/>
                <w:szCs w:val="22"/>
                <w:lang w:val="en-GB" w:eastAsia="en-GB"/>
              </w:rPr>
              <w:t xml:space="preserve"> </w:t>
            </w:r>
            <w:proofErr w:type="spellStart"/>
            <w:r w:rsidRPr="00162E37">
              <w:rPr>
                <w:rFonts w:ascii="Arial" w:hAnsi="Arial" w:cs="Arial"/>
                <w:noProof w:val="0"/>
                <w:szCs w:val="22"/>
                <w:lang w:val="en-GB" w:eastAsia="en-GB"/>
              </w:rPr>
              <w:t>i</w:t>
            </w:r>
            <w:proofErr w:type="spellEnd"/>
            <w:r w:rsidRPr="00162E37">
              <w:rPr>
                <w:rFonts w:ascii="Arial" w:hAnsi="Arial" w:cs="Arial"/>
                <w:noProof w:val="0"/>
                <w:szCs w:val="22"/>
                <w:lang w:val="en-GB" w:eastAsia="en-GB"/>
              </w:rPr>
              <w:t xml:space="preserve"> </w:t>
            </w:r>
            <w:proofErr w:type="spellStart"/>
            <w:r w:rsidRPr="00162E37">
              <w:rPr>
                <w:rFonts w:ascii="Arial" w:hAnsi="Arial" w:cs="Arial"/>
                <w:noProof w:val="0"/>
                <w:szCs w:val="22"/>
                <w:lang w:val="en-GB" w:eastAsia="en-GB"/>
              </w:rPr>
              <w:t>ostali</w:t>
            </w:r>
            <w:proofErr w:type="spellEnd"/>
            <w:r w:rsidRPr="00162E37">
              <w:rPr>
                <w:rFonts w:ascii="Arial" w:hAnsi="Arial" w:cs="Arial"/>
                <w:noProof w:val="0"/>
                <w:szCs w:val="22"/>
                <w:lang w:val="en-GB" w:eastAsia="en-GB"/>
              </w:rPr>
              <w:t xml:space="preserve"> </w:t>
            </w:r>
            <w:proofErr w:type="spellStart"/>
            <w:r w:rsidRPr="00162E37">
              <w:rPr>
                <w:rFonts w:ascii="Arial" w:hAnsi="Arial" w:cs="Arial"/>
                <w:noProof w:val="0"/>
                <w:szCs w:val="22"/>
                <w:lang w:val="en-GB" w:eastAsia="en-GB"/>
              </w:rPr>
              <w:t>prihodi</w:t>
            </w:r>
            <w:proofErr w:type="spellEnd"/>
          </w:p>
        </w:tc>
        <w:tc>
          <w:tcPr>
            <w:tcW w:w="1468" w:type="dxa"/>
            <w:tcBorders>
              <w:top w:val="nil"/>
              <w:left w:val="nil"/>
              <w:bottom w:val="nil"/>
              <w:right w:val="single" w:sz="4" w:space="0" w:color="auto"/>
            </w:tcBorders>
            <w:shd w:val="clear" w:color="auto" w:fill="auto"/>
            <w:noWrap/>
            <w:vAlign w:val="bottom"/>
            <w:hideMark/>
          </w:tcPr>
          <w:p w14:paraId="7412C510" w14:textId="77777777" w:rsidR="00162E37" w:rsidRPr="00162E37" w:rsidRDefault="00162E37" w:rsidP="00162E37">
            <w:pPr>
              <w:jc w:val="right"/>
              <w:rPr>
                <w:rFonts w:ascii="Arial" w:hAnsi="Arial" w:cs="Arial"/>
                <w:noProof w:val="0"/>
                <w:szCs w:val="22"/>
                <w:lang w:val="en-GB" w:eastAsia="en-GB"/>
              </w:rPr>
            </w:pPr>
            <w:r w:rsidRPr="00162E37">
              <w:rPr>
                <w:rFonts w:ascii="Arial" w:hAnsi="Arial" w:cs="Arial"/>
                <w:noProof w:val="0"/>
                <w:szCs w:val="22"/>
                <w:lang w:val="en-GB" w:eastAsia="en-GB"/>
              </w:rPr>
              <w:t>305.946</w:t>
            </w:r>
          </w:p>
        </w:tc>
        <w:tc>
          <w:tcPr>
            <w:tcW w:w="1310" w:type="dxa"/>
            <w:tcBorders>
              <w:top w:val="nil"/>
              <w:left w:val="nil"/>
              <w:bottom w:val="nil"/>
              <w:right w:val="single" w:sz="4" w:space="0" w:color="auto"/>
            </w:tcBorders>
            <w:shd w:val="clear" w:color="auto" w:fill="auto"/>
            <w:noWrap/>
            <w:vAlign w:val="bottom"/>
            <w:hideMark/>
          </w:tcPr>
          <w:p w14:paraId="0F1EE4F6" w14:textId="77777777" w:rsidR="00162E37" w:rsidRPr="00162E37" w:rsidRDefault="00162E37" w:rsidP="00162E37">
            <w:pPr>
              <w:jc w:val="right"/>
              <w:rPr>
                <w:rFonts w:ascii="Arial" w:hAnsi="Arial" w:cs="Arial"/>
                <w:noProof w:val="0"/>
                <w:szCs w:val="22"/>
                <w:lang w:val="en-GB" w:eastAsia="en-GB"/>
              </w:rPr>
            </w:pPr>
            <w:r w:rsidRPr="00162E37">
              <w:rPr>
                <w:rFonts w:ascii="Arial" w:hAnsi="Arial" w:cs="Arial"/>
                <w:noProof w:val="0"/>
                <w:szCs w:val="22"/>
                <w:lang w:val="en-GB" w:eastAsia="en-GB"/>
              </w:rPr>
              <w:t>1.168.761</w:t>
            </w:r>
          </w:p>
        </w:tc>
        <w:tc>
          <w:tcPr>
            <w:tcW w:w="1369" w:type="dxa"/>
            <w:tcBorders>
              <w:top w:val="nil"/>
              <w:left w:val="nil"/>
              <w:bottom w:val="nil"/>
              <w:right w:val="single" w:sz="8" w:space="0" w:color="auto"/>
            </w:tcBorders>
            <w:shd w:val="clear" w:color="auto" w:fill="auto"/>
            <w:noWrap/>
            <w:vAlign w:val="bottom"/>
            <w:hideMark/>
          </w:tcPr>
          <w:p w14:paraId="2F426572" w14:textId="77777777" w:rsidR="00162E37" w:rsidRPr="00162E37" w:rsidRDefault="00162E37" w:rsidP="00162E37">
            <w:pPr>
              <w:jc w:val="center"/>
              <w:rPr>
                <w:rFonts w:ascii="Arial" w:hAnsi="Arial" w:cs="Arial"/>
                <w:noProof w:val="0"/>
                <w:szCs w:val="22"/>
                <w:lang w:val="en-GB" w:eastAsia="en-GB"/>
              </w:rPr>
            </w:pPr>
            <w:r w:rsidRPr="00162E37">
              <w:rPr>
                <w:rFonts w:ascii="Arial" w:hAnsi="Arial" w:cs="Arial"/>
                <w:noProof w:val="0"/>
                <w:szCs w:val="22"/>
                <w:lang w:val="en-GB" w:eastAsia="en-GB"/>
              </w:rPr>
              <w:t>382,02</w:t>
            </w:r>
          </w:p>
        </w:tc>
      </w:tr>
      <w:tr w:rsidR="00162E37" w:rsidRPr="00162E37" w14:paraId="0244EC67" w14:textId="77777777" w:rsidTr="00162E37">
        <w:trPr>
          <w:trHeight w:val="315"/>
        </w:trPr>
        <w:tc>
          <w:tcPr>
            <w:tcW w:w="635" w:type="dxa"/>
            <w:tcBorders>
              <w:top w:val="nil"/>
              <w:left w:val="single" w:sz="8" w:space="0" w:color="auto"/>
              <w:bottom w:val="nil"/>
              <w:right w:val="nil"/>
            </w:tcBorders>
            <w:shd w:val="clear" w:color="000000" w:fill="E3FFFF"/>
            <w:noWrap/>
            <w:vAlign w:val="bottom"/>
            <w:hideMark/>
          </w:tcPr>
          <w:p w14:paraId="5CC48197" w14:textId="77777777" w:rsidR="00162E37" w:rsidRPr="00162E37" w:rsidRDefault="00162E37" w:rsidP="00162E37">
            <w:pPr>
              <w:jc w:val="center"/>
              <w:rPr>
                <w:rFonts w:ascii="Arial" w:hAnsi="Arial" w:cs="Arial"/>
                <w:noProof w:val="0"/>
                <w:szCs w:val="22"/>
                <w:lang w:val="en-GB" w:eastAsia="en-GB"/>
              </w:rPr>
            </w:pPr>
            <w:r w:rsidRPr="00162E37">
              <w:rPr>
                <w:rFonts w:ascii="Arial" w:hAnsi="Arial" w:cs="Arial"/>
                <w:noProof w:val="0"/>
                <w:szCs w:val="22"/>
                <w:lang w:val="en-GB" w:eastAsia="en-GB"/>
              </w:rPr>
              <w:t> </w:t>
            </w:r>
          </w:p>
        </w:tc>
        <w:tc>
          <w:tcPr>
            <w:tcW w:w="4604" w:type="dxa"/>
            <w:tcBorders>
              <w:top w:val="nil"/>
              <w:left w:val="single" w:sz="4" w:space="0" w:color="auto"/>
              <w:bottom w:val="nil"/>
              <w:right w:val="single" w:sz="4" w:space="0" w:color="auto"/>
            </w:tcBorders>
            <w:shd w:val="clear" w:color="000000" w:fill="E3FFFF"/>
            <w:noWrap/>
            <w:vAlign w:val="bottom"/>
            <w:hideMark/>
          </w:tcPr>
          <w:p w14:paraId="79AC7570" w14:textId="77777777" w:rsidR="00162E37" w:rsidRPr="00162E37" w:rsidRDefault="00162E37" w:rsidP="00162E37">
            <w:pPr>
              <w:rPr>
                <w:rFonts w:ascii="Arial" w:hAnsi="Arial" w:cs="Arial"/>
                <w:noProof w:val="0"/>
                <w:szCs w:val="22"/>
                <w:lang w:val="en-GB" w:eastAsia="en-GB"/>
              </w:rPr>
            </w:pPr>
            <w:r w:rsidRPr="00162E37">
              <w:rPr>
                <w:rFonts w:ascii="Arial" w:hAnsi="Arial" w:cs="Arial"/>
                <w:noProof w:val="0"/>
                <w:szCs w:val="22"/>
                <w:lang w:val="en-GB" w:eastAsia="en-GB"/>
              </w:rPr>
              <w:t> </w:t>
            </w:r>
          </w:p>
        </w:tc>
        <w:tc>
          <w:tcPr>
            <w:tcW w:w="1468" w:type="dxa"/>
            <w:tcBorders>
              <w:top w:val="nil"/>
              <w:left w:val="nil"/>
              <w:bottom w:val="nil"/>
              <w:right w:val="nil"/>
            </w:tcBorders>
            <w:shd w:val="clear" w:color="auto" w:fill="auto"/>
            <w:noWrap/>
            <w:vAlign w:val="bottom"/>
            <w:hideMark/>
          </w:tcPr>
          <w:p w14:paraId="682245FE" w14:textId="77777777" w:rsidR="00162E37" w:rsidRPr="00162E37" w:rsidRDefault="00162E37" w:rsidP="00162E37">
            <w:pPr>
              <w:rPr>
                <w:rFonts w:ascii="Arial" w:hAnsi="Arial" w:cs="Arial"/>
                <w:noProof w:val="0"/>
                <w:szCs w:val="22"/>
                <w:lang w:val="en-GB" w:eastAsia="en-GB"/>
              </w:rPr>
            </w:pPr>
          </w:p>
        </w:tc>
        <w:tc>
          <w:tcPr>
            <w:tcW w:w="1310" w:type="dxa"/>
            <w:tcBorders>
              <w:top w:val="nil"/>
              <w:left w:val="nil"/>
              <w:bottom w:val="nil"/>
              <w:right w:val="nil"/>
            </w:tcBorders>
            <w:shd w:val="clear" w:color="auto" w:fill="auto"/>
            <w:noWrap/>
            <w:vAlign w:val="bottom"/>
            <w:hideMark/>
          </w:tcPr>
          <w:p w14:paraId="05E4084E" w14:textId="77777777" w:rsidR="00162E37" w:rsidRPr="00162E37" w:rsidRDefault="00162E37" w:rsidP="00162E37">
            <w:pPr>
              <w:rPr>
                <w:noProof w:val="0"/>
                <w:sz w:val="20"/>
                <w:lang w:val="en-GB" w:eastAsia="en-GB"/>
              </w:rPr>
            </w:pPr>
          </w:p>
        </w:tc>
        <w:tc>
          <w:tcPr>
            <w:tcW w:w="1369" w:type="dxa"/>
            <w:tcBorders>
              <w:top w:val="nil"/>
              <w:left w:val="single" w:sz="4" w:space="0" w:color="auto"/>
              <w:bottom w:val="nil"/>
              <w:right w:val="single" w:sz="8" w:space="0" w:color="auto"/>
            </w:tcBorders>
            <w:shd w:val="clear" w:color="auto" w:fill="auto"/>
            <w:noWrap/>
            <w:vAlign w:val="bottom"/>
            <w:hideMark/>
          </w:tcPr>
          <w:p w14:paraId="181F4273" w14:textId="77777777" w:rsidR="00162E37" w:rsidRPr="00162E37" w:rsidRDefault="00162E37" w:rsidP="00162E37">
            <w:pPr>
              <w:jc w:val="right"/>
              <w:rPr>
                <w:rFonts w:ascii="Arial" w:hAnsi="Arial" w:cs="Arial"/>
                <w:noProof w:val="0"/>
                <w:szCs w:val="22"/>
                <w:lang w:val="en-GB" w:eastAsia="en-GB"/>
              </w:rPr>
            </w:pPr>
            <w:r w:rsidRPr="00162E37">
              <w:rPr>
                <w:rFonts w:ascii="Arial" w:hAnsi="Arial" w:cs="Arial"/>
                <w:noProof w:val="0"/>
                <w:szCs w:val="22"/>
                <w:lang w:val="en-GB" w:eastAsia="en-GB"/>
              </w:rPr>
              <w:t> </w:t>
            </w:r>
          </w:p>
        </w:tc>
      </w:tr>
      <w:tr w:rsidR="00162E37" w:rsidRPr="00162E37" w14:paraId="02C35455" w14:textId="77777777" w:rsidTr="00162E37">
        <w:trPr>
          <w:trHeight w:val="405"/>
        </w:trPr>
        <w:tc>
          <w:tcPr>
            <w:tcW w:w="635" w:type="dxa"/>
            <w:tcBorders>
              <w:top w:val="double" w:sz="6" w:space="0" w:color="auto"/>
              <w:left w:val="single" w:sz="8" w:space="0" w:color="auto"/>
              <w:bottom w:val="single" w:sz="8" w:space="0" w:color="auto"/>
              <w:right w:val="nil"/>
            </w:tcBorders>
            <w:shd w:val="clear" w:color="000000" w:fill="E3FFFF"/>
            <w:noWrap/>
            <w:vAlign w:val="bottom"/>
            <w:hideMark/>
          </w:tcPr>
          <w:p w14:paraId="292DEEDB" w14:textId="77777777" w:rsidR="00162E37" w:rsidRPr="00162E37" w:rsidRDefault="00162E37" w:rsidP="00162E37">
            <w:pPr>
              <w:jc w:val="center"/>
              <w:rPr>
                <w:rFonts w:ascii="Arial" w:hAnsi="Arial" w:cs="Arial"/>
                <w:noProof w:val="0"/>
                <w:szCs w:val="22"/>
                <w:lang w:val="en-GB" w:eastAsia="en-GB"/>
              </w:rPr>
            </w:pPr>
            <w:r w:rsidRPr="00162E37">
              <w:rPr>
                <w:rFonts w:ascii="Arial" w:hAnsi="Arial" w:cs="Arial"/>
                <w:noProof w:val="0"/>
                <w:szCs w:val="22"/>
                <w:lang w:val="en-GB" w:eastAsia="en-GB"/>
              </w:rPr>
              <w:t>001</w:t>
            </w:r>
          </w:p>
        </w:tc>
        <w:tc>
          <w:tcPr>
            <w:tcW w:w="4604" w:type="dxa"/>
            <w:tcBorders>
              <w:top w:val="double" w:sz="6" w:space="0" w:color="auto"/>
              <w:left w:val="single" w:sz="4" w:space="0" w:color="auto"/>
              <w:bottom w:val="single" w:sz="8" w:space="0" w:color="auto"/>
              <w:right w:val="single" w:sz="4" w:space="0" w:color="auto"/>
            </w:tcBorders>
            <w:shd w:val="clear" w:color="000000" w:fill="E3FFFF"/>
            <w:noWrap/>
            <w:vAlign w:val="bottom"/>
            <w:hideMark/>
          </w:tcPr>
          <w:p w14:paraId="62310D51" w14:textId="77777777" w:rsidR="00162E37" w:rsidRPr="00162E37" w:rsidRDefault="00162E37" w:rsidP="00162E37">
            <w:pPr>
              <w:rPr>
                <w:rFonts w:ascii="Arial" w:hAnsi="Arial" w:cs="Arial"/>
                <w:b/>
                <w:bCs/>
                <w:noProof w:val="0"/>
                <w:szCs w:val="22"/>
                <w:lang w:val="en-GB" w:eastAsia="en-GB"/>
              </w:rPr>
            </w:pPr>
            <w:proofErr w:type="spellStart"/>
            <w:r w:rsidRPr="00162E37">
              <w:rPr>
                <w:rFonts w:ascii="Arial" w:hAnsi="Arial" w:cs="Arial"/>
                <w:b/>
                <w:bCs/>
                <w:noProof w:val="0"/>
                <w:szCs w:val="22"/>
                <w:lang w:val="en-GB" w:eastAsia="en-GB"/>
              </w:rPr>
              <w:t>Ukupno</w:t>
            </w:r>
            <w:proofErr w:type="spellEnd"/>
          </w:p>
        </w:tc>
        <w:tc>
          <w:tcPr>
            <w:tcW w:w="1468" w:type="dxa"/>
            <w:tcBorders>
              <w:top w:val="double" w:sz="6" w:space="0" w:color="auto"/>
              <w:left w:val="nil"/>
              <w:bottom w:val="single" w:sz="8" w:space="0" w:color="auto"/>
              <w:right w:val="single" w:sz="4" w:space="0" w:color="auto"/>
            </w:tcBorders>
            <w:shd w:val="clear" w:color="000000" w:fill="E3FFFF"/>
            <w:noWrap/>
            <w:vAlign w:val="bottom"/>
            <w:hideMark/>
          </w:tcPr>
          <w:p w14:paraId="0ED8D164" w14:textId="77777777" w:rsidR="00162E37" w:rsidRPr="00162E37" w:rsidRDefault="00162E37" w:rsidP="00162E37">
            <w:pPr>
              <w:jc w:val="right"/>
              <w:rPr>
                <w:rFonts w:ascii="Arial" w:hAnsi="Arial" w:cs="Arial"/>
                <w:b/>
                <w:bCs/>
                <w:noProof w:val="0"/>
                <w:szCs w:val="22"/>
                <w:lang w:val="en-GB" w:eastAsia="en-GB"/>
              </w:rPr>
            </w:pPr>
            <w:r w:rsidRPr="00162E37">
              <w:rPr>
                <w:rFonts w:ascii="Arial" w:hAnsi="Arial" w:cs="Arial"/>
                <w:b/>
                <w:bCs/>
                <w:noProof w:val="0"/>
                <w:szCs w:val="22"/>
                <w:lang w:val="en-GB" w:eastAsia="en-GB"/>
              </w:rPr>
              <w:t>45.001.799</w:t>
            </w:r>
          </w:p>
        </w:tc>
        <w:tc>
          <w:tcPr>
            <w:tcW w:w="1310" w:type="dxa"/>
            <w:tcBorders>
              <w:top w:val="double" w:sz="6" w:space="0" w:color="auto"/>
              <w:left w:val="nil"/>
              <w:bottom w:val="single" w:sz="8" w:space="0" w:color="auto"/>
              <w:right w:val="single" w:sz="4" w:space="0" w:color="auto"/>
            </w:tcBorders>
            <w:shd w:val="clear" w:color="000000" w:fill="E3FFFF"/>
            <w:noWrap/>
            <w:vAlign w:val="bottom"/>
            <w:hideMark/>
          </w:tcPr>
          <w:p w14:paraId="2EE5B18F" w14:textId="77777777" w:rsidR="00162E37" w:rsidRPr="00162E37" w:rsidRDefault="00162E37" w:rsidP="00162E37">
            <w:pPr>
              <w:jc w:val="right"/>
              <w:rPr>
                <w:rFonts w:ascii="Arial" w:hAnsi="Arial" w:cs="Arial"/>
                <w:b/>
                <w:bCs/>
                <w:noProof w:val="0"/>
                <w:szCs w:val="22"/>
                <w:lang w:val="en-GB" w:eastAsia="en-GB"/>
              </w:rPr>
            </w:pPr>
            <w:r w:rsidRPr="00162E37">
              <w:rPr>
                <w:rFonts w:ascii="Arial" w:hAnsi="Arial" w:cs="Arial"/>
                <w:b/>
                <w:bCs/>
                <w:noProof w:val="0"/>
                <w:szCs w:val="22"/>
                <w:lang w:val="en-GB" w:eastAsia="en-GB"/>
              </w:rPr>
              <w:t>88.904.772</w:t>
            </w:r>
          </w:p>
        </w:tc>
        <w:tc>
          <w:tcPr>
            <w:tcW w:w="1369" w:type="dxa"/>
            <w:tcBorders>
              <w:top w:val="double" w:sz="6" w:space="0" w:color="auto"/>
              <w:left w:val="nil"/>
              <w:bottom w:val="single" w:sz="8" w:space="0" w:color="auto"/>
              <w:right w:val="single" w:sz="8" w:space="0" w:color="auto"/>
            </w:tcBorders>
            <w:shd w:val="clear" w:color="000000" w:fill="E3FFFF"/>
            <w:noWrap/>
            <w:vAlign w:val="bottom"/>
            <w:hideMark/>
          </w:tcPr>
          <w:p w14:paraId="3CD998AF" w14:textId="77777777" w:rsidR="00162E37" w:rsidRPr="00162E37" w:rsidRDefault="00162E37" w:rsidP="00162E37">
            <w:pPr>
              <w:jc w:val="center"/>
              <w:rPr>
                <w:rFonts w:ascii="Arial" w:hAnsi="Arial" w:cs="Arial"/>
                <w:b/>
                <w:bCs/>
                <w:noProof w:val="0"/>
                <w:szCs w:val="22"/>
                <w:lang w:val="en-GB" w:eastAsia="en-GB"/>
              </w:rPr>
            </w:pPr>
            <w:r w:rsidRPr="00162E37">
              <w:rPr>
                <w:rFonts w:ascii="Arial" w:hAnsi="Arial" w:cs="Arial"/>
                <w:b/>
                <w:bCs/>
                <w:noProof w:val="0"/>
                <w:szCs w:val="22"/>
                <w:lang w:val="en-GB" w:eastAsia="en-GB"/>
              </w:rPr>
              <w:t>197,56</w:t>
            </w:r>
          </w:p>
        </w:tc>
      </w:tr>
    </w:tbl>
    <w:p w14:paraId="70DAD174" w14:textId="04531B45" w:rsidR="00473F5A" w:rsidRPr="00437CA9" w:rsidRDefault="00473F5A" w:rsidP="00347A12">
      <w:pPr>
        <w:pStyle w:val="Heading4"/>
        <w:rPr>
          <w:rFonts w:ascii="TyponineSans Reg" w:hAnsi="TyponineSans Reg"/>
          <w:color w:val="FF0000"/>
          <w:sz w:val="22"/>
          <w:szCs w:val="22"/>
        </w:rPr>
      </w:pPr>
    </w:p>
    <w:p w14:paraId="0349C95D" w14:textId="40BE971A" w:rsidR="00473F5A" w:rsidRPr="00437CA9" w:rsidRDefault="00473F5A" w:rsidP="00473F5A">
      <w:pPr>
        <w:rPr>
          <w:color w:val="FF0000"/>
        </w:rPr>
      </w:pPr>
    </w:p>
    <w:p w14:paraId="6AB7A1A1" w14:textId="77777777" w:rsidR="00473F5A" w:rsidRPr="00437CA9" w:rsidRDefault="00473F5A" w:rsidP="00473F5A">
      <w:pPr>
        <w:rPr>
          <w:color w:val="FF0000"/>
        </w:rPr>
      </w:pPr>
    </w:p>
    <w:p w14:paraId="0FB0AA5F" w14:textId="66C18F60" w:rsidR="00473F5A" w:rsidRDefault="00473F5A" w:rsidP="00347A12">
      <w:pPr>
        <w:pStyle w:val="Heading4"/>
        <w:rPr>
          <w:rFonts w:ascii="TyponineSans Reg" w:hAnsi="TyponineSans Reg"/>
          <w:color w:val="FF0000"/>
          <w:sz w:val="22"/>
          <w:szCs w:val="22"/>
        </w:rPr>
      </w:pPr>
    </w:p>
    <w:p w14:paraId="2AA63D81" w14:textId="4692395B" w:rsidR="00A46726" w:rsidRDefault="00A46726" w:rsidP="00A46726"/>
    <w:p w14:paraId="72AF3A70" w14:textId="77777777" w:rsidR="00A46726" w:rsidRPr="00A46726" w:rsidRDefault="00A46726" w:rsidP="00A46726"/>
    <w:p w14:paraId="7F62C2BB" w14:textId="0784C818" w:rsidR="00347A12" w:rsidRPr="00A1592A" w:rsidRDefault="00347A12" w:rsidP="00347A12">
      <w:pPr>
        <w:pStyle w:val="Heading4"/>
        <w:rPr>
          <w:rFonts w:ascii="TyponineSans Reg" w:hAnsi="TyponineSans Reg"/>
          <w:i/>
          <w:sz w:val="24"/>
          <w:szCs w:val="24"/>
        </w:rPr>
      </w:pPr>
      <w:r w:rsidRPr="00A1592A">
        <w:rPr>
          <w:rFonts w:ascii="TyponineSans Reg" w:hAnsi="TyponineSans Reg"/>
          <w:sz w:val="24"/>
          <w:szCs w:val="24"/>
        </w:rPr>
        <w:t>AOP 045</w:t>
      </w:r>
    </w:p>
    <w:p w14:paraId="0AD587C8" w14:textId="77777777" w:rsidR="00347A12" w:rsidRPr="00A1592A" w:rsidRDefault="00347A12" w:rsidP="00347A12">
      <w:pPr>
        <w:pStyle w:val="Heading4"/>
        <w:rPr>
          <w:rFonts w:ascii="TyponineSans Reg" w:hAnsi="TyponineSans Reg"/>
          <w:i/>
          <w:sz w:val="24"/>
          <w:szCs w:val="24"/>
        </w:rPr>
      </w:pPr>
      <w:r w:rsidRPr="00A1592A">
        <w:rPr>
          <w:rFonts w:ascii="TyponineSans Reg" w:hAnsi="TyponineSans Reg"/>
          <w:sz w:val="24"/>
          <w:szCs w:val="24"/>
        </w:rPr>
        <w:t>Pomoći iz inozemstva i od subjekata unutar općeg proračuna</w:t>
      </w:r>
    </w:p>
    <w:p w14:paraId="3CC6C345" w14:textId="77777777" w:rsidR="00347A12" w:rsidRPr="00392F46" w:rsidRDefault="00347A12" w:rsidP="00347A12">
      <w:pPr>
        <w:rPr>
          <w:rFonts w:ascii="TyponineSans Reg" w:hAnsi="TyponineSans Reg"/>
          <w:szCs w:val="22"/>
        </w:rPr>
      </w:pPr>
    </w:p>
    <w:p w14:paraId="303E1013" w14:textId="1907DCB3" w:rsidR="00347A12" w:rsidRPr="00392F46" w:rsidRDefault="00347A12" w:rsidP="00347A12">
      <w:pPr>
        <w:jc w:val="both"/>
        <w:rPr>
          <w:rFonts w:ascii="TyponineSans Reg" w:hAnsi="TyponineSans Reg"/>
          <w:szCs w:val="22"/>
        </w:rPr>
      </w:pPr>
      <w:r w:rsidRPr="00392F46">
        <w:rPr>
          <w:rFonts w:ascii="TyponineSans Reg" w:hAnsi="TyponineSans Reg"/>
          <w:szCs w:val="22"/>
        </w:rPr>
        <w:t xml:space="preserve">Prihodi iskazani na AOP-u 045 u iznosu od </w:t>
      </w:r>
      <w:r w:rsidR="00CE09F9" w:rsidRPr="00392F46">
        <w:rPr>
          <w:rFonts w:ascii="TyponineSans Reg" w:hAnsi="TyponineSans Reg"/>
          <w:szCs w:val="22"/>
        </w:rPr>
        <w:t>17.9</w:t>
      </w:r>
      <w:r w:rsidR="00F260DF">
        <w:rPr>
          <w:rFonts w:ascii="TyponineSans Reg" w:hAnsi="TyponineSans Reg"/>
          <w:szCs w:val="22"/>
        </w:rPr>
        <w:t>61.813</w:t>
      </w:r>
      <w:r w:rsidRPr="00392F46">
        <w:rPr>
          <w:rFonts w:ascii="TyponineSans Reg" w:hAnsi="TyponineSans Reg"/>
          <w:szCs w:val="22"/>
        </w:rPr>
        <w:t xml:space="preserve"> kn odnose se na:</w:t>
      </w:r>
    </w:p>
    <w:p w14:paraId="57FB72DB" w14:textId="77777777" w:rsidR="00347A12" w:rsidRPr="00392F46" w:rsidRDefault="00347A12" w:rsidP="00347A12">
      <w:pPr>
        <w:jc w:val="both"/>
        <w:rPr>
          <w:rFonts w:ascii="TyponineSans Reg" w:hAnsi="TyponineSans Reg"/>
          <w:szCs w:val="22"/>
        </w:rPr>
      </w:pPr>
    </w:p>
    <w:p w14:paraId="6472201C" w14:textId="70FD7748" w:rsidR="00347A12" w:rsidRPr="00392F46" w:rsidRDefault="00347A12" w:rsidP="00347A12">
      <w:pPr>
        <w:numPr>
          <w:ilvl w:val="0"/>
          <w:numId w:val="35"/>
        </w:numPr>
        <w:ind w:left="780"/>
        <w:jc w:val="both"/>
        <w:rPr>
          <w:rFonts w:ascii="TyponineSans Reg" w:hAnsi="TyponineSans Reg" w:cs="Calibri"/>
          <w:szCs w:val="22"/>
        </w:rPr>
      </w:pPr>
      <w:r w:rsidRPr="00392F46">
        <w:rPr>
          <w:rFonts w:ascii="TyponineSans Reg" w:hAnsi="TyponineSans Reg"/>
          <w:szCs w:val="22"/>
        </w:rPr>
        <w:t xml:space="preserve">sredstva primljena vezano za </w:t>
      </w:r>
      <w:bookmarkStart w:id="1" w:name="_Hlk31107633"/>
      <w:r w:rsidRPr="00392F46">
        <w:rPr>
          <w:rFonts w:ascii="TyponineSans Reg" w:hAnsi="TyponineSans Reg"/>
          <w:szCs w:val="22"/>
        </w:rPr>
        <w:t>provedbu projekta Interreg</w:t>
      </w:r>
      <w:r w:rsidRPr="00392F46">
        <w:rPr>
          <w:rFonts w:ascii="TyponineSans Reg" w:hAnsi="TyponineSans Reg" w:cs="Calibri"/>
          <w:szCs w:val="22"/>
        </w:rPr>
        <w:t xml:space="preserve"> program Mediteran 2014. – 2020 g. u iznosu od </w:t>
      </w:r>
      <w:r w:rsidR="009429B8" w:rsidRPr="00392F46">
        <w:rPr>
          <w:rFonts w:ascii="TyponineSans Reg" w:hAnsi="TyponineSans Reg" w:cs="Calibri"/>
          <w:szCs w:val="22"/>
        </w:rPr>
        <w:t>980.91</w:t>
      </w:r>
      <w:r w:rsidR="00392F46" w:rsidRPr="00392F46">
        <w:rPr>
          <w:rFonts w:ascii="TyponineSans Reg" w:hAnsi="TyponineSans Reg" w:cs="Calibri"/>
          <w:szCs w:val="22"/>
        </w:rPr>
        <w:t>9</w:t>
      </w:r>
      <w:r w:rsidRPr="00392F46">
        <w:rPr>
          <w:rFonts w:ascii="TyponineSans Reg" w:hAnsi="TyponineSans Reg" w:cs="Calibri"/>
          <w:szCs w:val="22"/>
        </w:rPr>
        <w:t xml:space="preserve"> kn za </w:t>
      </w:r>
      <w:r w:rsidR="00392F46" w:rsidRPr="00392F46">
        <w:rPr>
          <w:rFonts w:ascii="TyponineSans Reg" w:hAnsi="TyponineSans Reg" w:cs="Calibri"/>
          <w:szCs w:val="22"/>
        </w:rPr>
        <w:t>kapitalne pomoći i 4.633,45 kn za tekuće pomoći</w:t>
      </w:r>
      <w:bookmarkEnd w:id="1"/>
    </w:p>
    <w:p w14:paraId="0946C93D" w14:textId="37C87EE5" w:rsidR="00347A12" w:rsidRPr="00392F46" w:rsidRDefault="00347A12" w:rsidP="00347A12">
      <w:pPr>
        <w:numPr>
          <w:ilvl w:val="0"/>
          <w:numId w:val="35"/>
        </w:numPr>
        <w:ind w:left="780"/>
        <w:jc w:val="both"/>
        <w:rPr>
          <w:rFonts w:ascii="TyponineSans Reg" w:hAnsi="TyponineSans Reg" w:cs="Calibri"/>
          <w:szCs w:val="22"/>
        </w:rPr>
      </w:pPr>
      <w:r w:rsidRPr="00392F46">
        <w:rPr>
          <w:rFonts w:ascii="TyponineSans Reg" w:hAnsi="TyponineSans Reg"/>
          <w:szCs w:val="22"/>
        </w:rPr>
        <w:t xml:space="preserve">sredstva primljena vezano za provedbu projekta </w:t>
      </w:r>
      <w:bookmarkStart w:id="2" w:name="_Hlk31033122"/>
      <w:r w:rsidRPr="00392F46">
        <w:rPr>
          <w:rFonts w:ascii="TyponineSans Reg" w:hAnsi="TyponineSans Reg"/>
          <w:szCs w:val="22"/>
        </w:rPr>
        <w:t xml:space="preserve">Konkurentnost i kohezija 2014 – 2020 mjera 6c2 – „Povećanje atraktivnosti, edukativnog kapaciteta i održivog upravljanja odredištima kulturne baštine pod nazivom „Novo ruho Brijuna“ u iznosu </w:t>
      </w:r>
      <w:bookmarkEnd w:id="2"/>
      <w:r w:rsidRPr="00392F46">
        <w:rPr>
          <w:rFonts w:ascii="TyponineSans Reg" w:hAnsi="TyponineSans Reg"/>
          <w:szCs w:val="22"/>
        </w:rPr>
        <w:t xml:space="preserve">od </w:t>
      </w:r>
      <w:r w:rsidR="00392F46" w:rsidRPr="00392F46">
        <w:rPr>
          <w:rFonts w:ascii="TyponineSans Reg" w:hAnsi="TyponineSans Reg"/>
          <w:szCs w:val="22"/>
        </w:rPr>
        <w:t xml:space="preserve">372.250 </w:t>
      </w:r>
      <w:r w:rsidRPr="00392F46">
        <w:rPr>
          <w:rFonts w:ascii="TyponineSans Reg" w:hAnsi="TyponineSans Reg"/>
          <w:szCs w:val="22"/>
        </w:rPr>
        <w:t xml:space="preserve">kn za tekuće pomoći i </w:t>
      </w:r>
      <w:r w:rsidR="00392F46" w:rsidRPr="00392F46">
        <w:rPr>
          <w:rFonts w:ascii="TyponineSans Reg" w:hAnsi="TyponineSans Reg"/>
          <w:szCs w:val="22"/>
        </w:rPr>
        <w:t>1</w:t>
      </w:r>
      <w:r w:rsidRPr="00392F46">
        <w:rPr>
          <w:rFonts w:ascii="TyponineSans Reg" w:hAnsi="TyponineSans Reg"/>
          <w:szCs w:val="22"/>
        </w:rPr>
        <w:t>3.</w:t>
      </w:r>
      <w:r w:rsidR="00392F46" w:rsidRPr="00392F46">
        <w:rPr>
          <w:rFonts w:ascii="TyponineSans Reg" w:hAnsi="TyponineSans Reg"/>
          <w:szCs w:val="22"/>
        </w:rPr>
        <w:t xml:space="preserve">254.011 </w:t>
      </w:r>
      <w:r w:rsidRPr="00392F46">
        <w:rPr>
          <w:rFonts w:ascii="TyponineSans Reg" w:hAnsi="TyponineSans Reg"/>
          <w:szCs w:val="22"/>
        </w:rPr>
        <w:t>kn za kapitalne pomoći</w:t>
      </w:r>
    </w:p>
    <w:p w14:paraId="7BA2CE52" w14:textId="351ED626" w:rsidR="00347A12" w:rsidRPr="00392F46" w:rsidRDefault="00347A12" w:rsidP="009429B8">
      <w:pPr>
        <w:numPr>
          <w:ilvl w:val="0"/>
          <w:numId w:val="37"/>
        </w:numPr>
        <w:jc w:val="both"/>
        <w:rPr>
          <w:rFonts w:ascii="TyponineSans Reg" w:hAnsi="TyponineSans Reg"/>
          <w:szCs w:val="22"/>
        </w:rPr>
      </w:pPr>
      <w:r w:rsidRPr="00392F46">
        <w:rPr>
          <w:rFonts w:ascii="TyponineSans Reg" w:hAnsi="TyponineSans Reg"/>
          <w:szCs w:val="22"/>
        </w:rPr>
        <w:t xml:space="preserve">sredstva primljena od strane Fonda za zaštitu i energetsku učinkovitost koja se odnose na refundaciju 15% ukupno prihvatljivih troškova nastalih temeljem provedbe projekta Konkurentnost i kohezija 2014 – 2020. </w:t>
      </w:r>
      <w:r w:rsidR="00F029B5" w:rsidRPr="00392F46">
        <w:rPr>
          <w:rFonts w:ascii="TyponineSans Reg" w:hAnsi="TyponineSans Reg"/>
          <w:szCs w:val="22"/>
        </w:rPr>
        <w:t xml:space="preserve">te ostalih odobrenih projekata </w:t>
      </w:r>
      <w:r w:rsidRPr="00392F46">
        <w:rPr>
          <w:rFonts w:ascii="TyponineSans Reg" w:hAnsi="TyponineSans Reg"/>
          <w:szCs w:val="22"/>
        </w:rPr>
        <w:t xml:space="preserve">i to </w:t>
      </w:r>
      <w:r w:rsidR="00F029B5" w:rsidRPr="00392F46">
        <w:rPr>
          <w:rFonts w:ascii="TyponineSans Reg" w:hAnsi="TyponineSans Reg"/>
          <w:szCs w:val="22"/>
        </w:rPr>
        <w:t>300.801 kn</w:t>
      </w:r>
      <w:r w:rsidRPr="00392F46">
        <w:rPr>
          <w:rFonts w:ascii="TyponineSans Reg" w:hAnsi="TyponineSans Reg"/>
          <w:szCs w:val="22"/>
        </w:rPr>
        <w:t xml:space="preserve"> za nadoknadu tekućih troškova i </w:t>
      </w:r>
      <w:r w:rsidR="00392F46" w:rsidRPr="00392F46">
        <w:rPr>
          <w:rFonts w:ascii="TyponineSans Reg" w:hAnsi="TyponineSans Reg"/>
          <w:szCs w:val="22"/>
        </w:rPr>
        <w:t>1.926.240</w:t>
      </w:r>
      <w:r w:rsidR="00F029B5" w:rsidRPr="00392F46">
        <w:rPr>
          <w:rFonts w:ascii="TyponineSans Reg" w:hAnsi="TyponineSans Reg"/>
          <w:szCs w:val="22"/>
        </w:rPr>
        <w:t xml:space="preserve">  kn</w:t>
      </w:r>
      <w:r w:rsidRPr="00392F46">
        <w:rPr>
          <w:rFonts w:ascii="TyponineSans Reg" w:hAnsi="TyponineSans Reg"/>
          <w:szCs w:val="22"/>
        </w:rPr>
        <w:t xml:space="preserve"> za nadoknadu kapitalnih troškova</w:t>
      </w:r>
    </w:p>
    <w:p w14:paraId="2FD22397" w14:textId="378BEF9B" w:rsidR="00347A12" w:rsidRPr="00392F46" w:rsidRDefault="00347A12" w:rsidP="00347A12">
      <w:pPr>
        <w:numPr>
          <w:ilvl w:val="0"/>
          <w:numId w:val="37"/>
        </w:numPr>
        <w:jc w:val="both"/>
        <w:rPr>
          <w:rFonts w:ascii="TyponineSans Reg" w:hAnsi="TyponineSans Reg"/>
          <w:szCs w:val="22"/>
        </w:rPr>
      </w:pPr>
      <w:r w:rsidRPr="00392F46">
        <w:rPr>
          <w:rFonts w:ascii="TyponineSans Reg" w:hAnsi="TyponineSans Reg"/>
          <w:szCs w:val="22"/>
        </w:rPr>
        <w:t xml:space="preserve">sredstva primljena od HZMO-a, HZZ-a I HZZO-a odnose se na potpore za očuvanje radnih mjesta u djelatnostima pogođenim virusom Covid 19 u iznosu od </w:t>
      </w:r>
      <w:r w:rsidR="00F029B5" w:rsidRPr="00392F46">
        <w:rPr>
          <w:rFonts w:ascii="TyponineSans Reg" w:hAnsi="TyponineSans Reg"/>
          <w:szCs w:val="22"/>
        </w:rPr>
        <w:t>285.687</w:t>
      </w:r>
      <w:r w:rsidRPr="00392F46">
        <w:rPr>
          <w:rFonts w:ascii="TyponineSans Reg" w:hAnsi="TyponineSans Reg"/>
          <w:szCs w:val="22"/>
        </w:rPr>
        <w:t xml:space="preserve"> kn </w:t>
      </w:r>
    </w:p>
    <w:p w14:paraId="2BAC1ED0" w14:textId="77777777" w:rsidR="00347A12" w:rsidRPr="00392F46" w:rsidRDefault="00347A12" w:rsidP="00347A12">
      <w:pPr>
        <w:ind w:left="360"/>
        <w:jc w:val="both"/>
        <w:rPr>
          <w:rFonts w:ascii="TyponineSans Reg" w:hAnsi="TyponineSans Reg"/>
          <w:szCs w:val="22"/>
        </w:rPr>
      </w:pPr>
    </w:p>
    <w:p w14:paraId="5B05D141" w14:textId="30C2CD67" w:rsidR="00392F46" w:rsidRPr="00392F46" w:rsidRDefault="00347A12" w:rsidP="00347A12">
      <w:pPr>
        <w:numPr>
          <w:ilvl w:val="0"/>
          <w:numId w:val="37"/>
        </w:numPr>
        <w:jc w:val="both"/>
        <w:rPr>
          <w:rFonts w:ascii="TyponineSans Reg" w:hAnsi="TyponineSans Reg"/>
          <w:szCs w:val="22"/>
        </w:rPr>
      </w:pPr>
      <w:r w:rsidRPr="00392F46">
        <w:rPr>
          <w:rFonts w:ascii="TyponineSans Reg" w:hAnsi="TyponineSans Reg"/>
          <w:szCs w:val="22"/>
        </w:rPr>
        <w:t xml:space="preserve"> Tekuće pomoći odnosno prijenosi između proračunskih korisnika iskazane su u iznosu od ukupno </w:t>
      </w:r>
      <w:r w:rsidR="00A945DC" w:rsidRPr="00392F46">
        <w:rPr>
          <w:rFonts w:ascii="TyponineSans Reg" w:hAnsi="TyponineSans Reg"/>
          <w:szCs w:val="22"/>
        </w:rPr>
        <w:t xml:space="preserve">830.775 </w:t>
      </w:r>
      <w:r w:rsidRPr="00392F46">
        <w:rPr>
          <w:rFonts w:ascii="TyponineSans Reg" w:hAnsi="TyponineSans Reg"/>
          <w:szCs w:val="22"/>
        </w:rPr>
        <w:t>kn, a koje se odnose na</w:t>
      </w:r>
      <w:r w:rsidR="00392F46" w:rsidRPr="00392F46">
        <w:rPr>
          <w:rFonts w:ascii="TyponineSans Reg" w:hAnsi="TyponineSans Reg"/>
          <w:szCs w:val="22"/>
        </w:rPr>
        <w:t xml:space="preserve"> tekuće prijenose između proračunskih korisnika istog proračuna i to od Agencije za plaćanje u poljoprivredi, ribarstvu i ruralnom razvoju u iznosu od 5</w:t>
      </w:r>
      <w:r w:rsidR="00F260DF">
        <w:rPr>
          <w:rFonts w:ascii="TyponineSans Reg" w:hAnsi="TyponineSans Reg"/>
          <w:szCs w:val="22"/>
        </w:rPr>
        <w:t>10.354</w:t>
      </w:r>
      <w:r w:rsidR="00392F46" w:rsidRPr="00392F46">
        <w:rPr>
          <w:rFonts w:ascii="TyponineSans Reg" w:hAnsi="TyponineSans Reg"/>
          <w:szCs w:val="22"/>
        </w:rPr>
        <w:t xml:space="preserve"> kn i 326.916 kn odnosi se na tekuće prijenose između proračunskih korisnika istog proračuna temeljem prijenosa EU sredstava.</w:t>
      </w:r>
    </w:p>
    <w:p w14:paraId="09F7F677" w14:textId="77777777" w:rsidR="00347A12" w:rsidRPr="00437CA9" w:rsidRDefault="00347A12" w:rsidP="00347A12">
      <w:pPr>
        <w:jc w:val="both"/>
        <w:rPr>
          <w:rFonts w:ascii="TyponineSans Reg" w:hAnsi="TyponineSans Reg"/>
          <w:color w:val="FF0000"/>
          <w:szCs w:val="22"/>
        </w:rPr>
      </w:pPr>
    </w:p>
    <w:p w14:paraId="08B6E031" w14:textId="34B48764" w:rsidR="00347A12" w:rsidRPr="00A1592A" w:rsidRDefault="00347A12" w:rsidP="00347A12">
      <w:pPr>
        <w:jc w:val="both"/>
        <w:rPr>
          <w:rFonts w:ascii="TyponineSans Reg" w:hAnsi="TyponineSans Reg"/>
          <w:b/>
          <w:sz w:val="24"/>
          <w:szCs w:val="24"/>
        </w:rPr>
      </w:pPr>
      <w:r w:rsidRPr="00A1592A">
        <w:rPr>
          <w:rFonts w:ascii="TyponineSans Reg" w:hAnsi="TyponineSans Reg"/>
          <w:b/>
          <w:sz w:val="24"/>
          <w:szCs w:val="24"/>
        </w:rPr>
        <w:t>AOP 07</w:t>
      </w:r>
      <w:r w:rsidR="00E11D56" w:rsidRPr="00A1592A">
        <w:rPr>
          <w:rFonts w:ascii="TyponineSans Reg" w:hAnsi="TyponineSans Reg"/>
          <w:b/>
          <w:sz w:val="24"/>
          <w:szCs w:val="24"/>
        </w:rPr>
        <w:t>7</w:t>
      </w:r>
    </w:p>
    <w:p w14:paraId="6AC36AAD" w14:textId="77777777" w:rsidR="00347A12" w:rsidRPr="00A1592A" w:rsidRDefault="00347A12" w:rsidP="00347A12">
      <w:pPr>
        <w:jc w:val="both"/>
        <w:rPr>
          <w:rFonts w:ascii="TyponineSans Reg" w:hAnsi="TyponineSans Reg"/>
          <w:b/>
          <w:sz w:val="24"/>
          <w:szCs w:val="24"/>
        </w:rPr>
      </w:pPr>
      <w:r w:rsidRPr="00A1592A">
        <w:rPr>
          <w:rFonts w:ascii="TyponineSans Reg" w:hAnsi="TyponineSans Reg"/>
          <w:b/>
          <w:sz w:val="24"/>
          <w:szCs w:val="24"/>
        </w:rPr>
        <w:t>Prihodi od imovine</w:t>
      </w:r>
    </w:p>
    <w:p w14:paraId="65E0557F" w14:textId="77777777" w:rsidR="00347A12" w:rsidRPr="00A945DC" w:rsidRDefault="00347A12" w:rsidP="00347A12">
      <w:pPr>
        <w:jc w:val="both"/>
        <w:rPr>
          <w:rFonts w:ascii="TyponineSans Reg" w:hAnsi="TyponineSans Reg"/>
          <w:b/>
          <w:szCs w:val="22"/>
        </w:rPr>
      </w:pPr>
    </w:p>
    <w:p w14:paraId="6A3CE37E" w14:textId="28CCB1EE" w:rsidR="00347A12" w:rsidRPr="00A945DC" w:rsidRDefault="00347A12" w:rsidP="00347A12">
      <w:pPr>
        <w:jc w:val="both"/>
        <w:rPr>
          <w:rFonts w:ascii="TyponineSans Reg" w:hAnsi="TyponineSans Reg"/>
          <w:szCs w:val="22"/>
        </w:rPr>
      </w:pPr>
      <w:r w:rsidRPr="00A945DC">
        <w:rPr>
          <w:rFonts w:ascii="TyponineSans Reg" w:hAnsi="TyponineSans Reg"/>
          <w:szCs w:val="22"/>
        </w:rPr>
        <w:t xml:space="preserve">Prihodi od imovine iskazani u ukupnom iznosu od </w:t>
      </w:r>
      <w:r w:rsidR="00A945DC" w:rsidRPr="00A945DC">
        <w:rPr>
          <w:rFonts w:ascii="TyponineSans Reg" w:hAnsi="TyponineSans Reg"/>
          <w:szCs w:val="22"/>
        </w:rPr>
        <w:t>18.035</w:t>
      </w:r>
      <w:r w:rsidRPr="00A945DC">
        <w:rPr>
          <w:rFonts w:ascii="TyponineSans Reg" w:hAnsi="TyponineSans Reg"/>
          <w:szCs w:val="22"/>
        </w:rPr>
        <w:t xml:space="preserve"> kn odnose se na sljedeće stavke prihoda:</w:t>
      </w:r>
    </w:p>
    <w:p w14:paraId="3CF04A5E" w14:textId="54C06A1A" w:rsidR="00347A12" w:rsidRPr="00A945DC" w:rsidRDefault="00347A12" w:rsidP="00347A12">
      <w:pPr>
        <w:numPr>
          <w:ilvl w:val="0"/>
          <w:numId w:val="9"/>
        </w:numPr>
        <w:jc w:val="both"/>
        <w:rPr>
          <w:rFonts w:ascii="TyponineSans Reg" w:hAnsi="TyponineSans Reg"/>
          <w:szCs w:val="22"/>
        </w:rPr>
      </w:pPr>
      <w:r w:rsidRPr="00A945DC">
        <w:rPr>
          <w:rFonts w:ascii="TyponineSans Reg" w:hAnsi="TyponineSans Reg"/>
          <w:szCs w:val="22"/>
        </w:rPr>
        <w:t xml:space="preserve">Kamate na oročena sredstva i depozite po viđenju u iznosu od </w:t>
      </w:r>
      <w:r w:rsidR="00A945DC" w:rsidRPr="00A945DC">
        <w:rPr>
          <w:rFonts w:ascii="TyponineSans Reg" w:hAnsi="TyponineSans Reg"/>
          <w:szCs w:val="22"/>
        </w:rPr>
        <w:t>1.637</w:t>
      </w:r>
      <w:r w:rsidRPr="00A945DC">
        <w:rPr>
          <w:rFonts w:ascii="TyponineSans Reg" w:hAnsi="TyponineSans Reg"/>
          <w:szCs w:val="22"/>
        </w:rPr>
        <w:t xml:space="preserve"> kn</w:t>
      </w:r>
    </w:p>
    <w:p w14:paraId="6961B9B5" w14:textId="1DC15359" w:rsidR="00347A12" w:rsidRPr="00A945DC" w:rsidRDefault="00347A12" w:rsidP="00347A12">
      <w:pPr>
        <w:numPr>
          <w:ilvl w:val="0"/>
          <w:numId w:val="9"/>
        </w:numPr>
        <w:jc w:val="both"/>
        <w:rPr>
          <w:rFonts w:ascii="TyponineSans Reg" w:hAnsi="TyponineSans Reg"/>
          <w:szCs w:val="22"/>
        </w:rPr>
      </w:pPr>
      <w:r w:rsidRPr="00A945DC">
        <w:rPr>
          <w:rFonts w:ascii="TyponineSans Reg" w:hAnsi="TyponineSans Reg"/>
          <w:szCs w:val="22"/>
        </w:rPr>
        <w:t xml:space="preserve">Prihode od pozitivnih tečajnih razlika u iznosu od </w:t>
      </w:r>
      <w:r w:rsidR="00A945DC" w:rsidRPr="00A945DC">
        <w:rPr>
          <w:rFonts w:ascii="TyponineSans Reg" w:hAnsi="TyponineSans Reg"/>
          <w:szCs w:val="22"/>
        </w:rPr>
        <w:t>1</w:t>
      </w:r>
      <w:r w:rsidRPr="00A945DC">
        <w:rPr>
          <w:rFonts w:ascii="TyponineSans Reg" w:hAnsi="TyponineSans Reg"/>
          <w:szCs w:val="22"/>
        </w:rPr>
        <w:t>6.</w:t>
      </w:r>
      <w:r w:rsidR="00A945DC" w:rsidRPr="00A945DC">
        <w:rPr>
          <w:rFonts w:ascii="TyponineSans Reg" w:hAnsi="TyponineSans Reg"/>
          <w:szCs w:val="22"/>
        </w:rPr>
        <w:t>398</w:t>
      </w:r>
      <w:r w:rsidRPr="00A945DC">
        <w:rPr>
          <w:rFonts w:ascii="TyponineSans Reg" w:hAnsi="TyponineSans Reg"/>
          <w:szCs w:val="22"/>
        </w:rPr>
        <w:t xml:space="preserve"> kn</w:t>
      </w:r>
    </w:p>
    <w:p w14:paraId="651E527B" w14:textId="77777777" w:rsidR="00347A12" w:rsidRPr="00437CA9" w:rsidRDefault="00347A12" w:rsidP="00347A12">
      <w:pPr>
        <w:ind w:left="720"/>
        <w:jc w:val="both"/>
        <w:rPr>
          <w:rFonts w:ascii="TyponineSans Reg" w:hAnsi="TyponineSans Reg"/>
          <w:color w:val="FF0000"/>
          <w:szCs w:val="22"/>
        </w:rPr>
      </w:pPr>
    </w:p>
    <w:p w14:paraId="06F5DF5C" w14:textId="5F68084B" w:rsidR="00A945DC" w:rsidRPr="00A945DC" w:rsidRDefault="00347A12" w:rsidP="00347A12">
      <w:pPr>
        <w:jc w:val="both"/>
        <w:rPr>
          <w:rFonts w:ascii="TyponineSans Reg" w:hAnsi="TyponineSans Reg"/>
          <w:szCs w:val="22"/>
        </w:rPr>
      </w:pPr>
      <w:r w:rsidRPr="00A945DC">
        <w:rPr>
          <w:rFonts w:ascii="TyponineSans Reg" w:hAnsi="TyponineSans Reg"/>
          <w:szCs w:val="22"/>
        </w:rPr>
        <w:t xml:space="preserve">Iskazani prihodi od imovine </w:t>
      </w:r>
      <w:r w:rsidR="00A945DC" w:rsidRPr="00A945DC">
        <w:rPr>
          <w:rFonts w:ascii="TyponineSans Reg" w:hAnsi="TyponineSans Reg"/>
          <w:szCs w:val="22"/>
        </w:rPr>
        <w:t xml:space="preserve">veći </w:t>
      </w:r>
      <w:r w:rsidRPr="00A945DC">
        <w:rPr>
          <w:rFonts w:ascii="TyponineSans Reg" w:hAnsi="TyponineSans Reg"/>
          <w:szCs w:val="22"/>
        </w:rPr>
        <w:t>su u odnosu na ostvarene 20</w:t>
      </w:r>
      <w:r w:rsidR="00A945DC" w:rsidRPr="00A945DC">
        <w:rPr>
          <w:rFonts w:ascii="TyponineSans Reg" w:hAnsi="TyponineSans Reg"/>
          <w:szCs w:val="22"/>
        </w:rPr>
        <w:t>20</w:t>
      </w:r>
      <w:r w:rsidRPr="00A945DC">
        <w:rPr>
          <w:rFonts w:ascii="TyponineSans Reg" w:hAnsi="TyponineSans Reg"/>
          <w:szCs w:val="22"/>
        </w:rPr>
        <w:t xml:space="preserve">. godine za </w:t>
      </w:r>
      <w:r w:rsidR="00A945DC" w:rsidRPr="00A945DC">
        <w:rPr>
          <w:rFonts w:ascii="TyponineSans Reg" w:hAnsi="TyponineSans Reg"/>
          <w:szCs w:val="22"/>
        </w:rPr>
        <w:t>111,04</w:t>
      </w:r>
      <w:r w:rsidRPr="00A945DC">
        <w:rPr>
          <w:rFonts w:ascii="TyponineSans Reg" w:hAnsi="TyponineSans Reg"/>
          <w:szCs w:val="22"/>
        </w:rPr>
        <w:t xml:space="preserve">%   što je najvećim dijelom rezultat </w:t>
      </w:r>
      <w:r w:rsidR="00A945DC" w:rsidRPr="00A945DC">
        <w:rPr>
          <w:rFonts w:ascii="TyponineSans Reg" w:hAnsi="TyponineSans Reg"/>
          <w:szCs w:val="22"/>
        </w:rPr>
        <w:t>iz razloga ostvarenja pozitivnih tečajnih razlika po uplatama kupaca tijekom 2021. godine dok su kamate na depozite po viđenju ostvarene na nivou 2020. godine.</w:t>
      </w:r>
    </w:p>
    <w:p w14:paraId="173CF5B2" w14:textId="77777777" w:rsidR="00347A12" w:rsidRPr="00437CA9" w:rsidRDefault="00347A12" w:rsidP="00347A12">
      <w:pPr>
        <w:jc w:val="both"/>
        <w:rPr>
          <w:rFonts w:ascii="TyponineSans Reg" w:hAnsi="TyponineSans Reg"/>
          <w:color w:val="FF0000"/>
          <w:szCs w:val="22"/>
        </w:rPr>
      </w:pPr>
    </w:p>
    <w:p w14:paraId="18AA7A8B" w14:textId="7801046E" w:rsidR="00347A12" w:rsidRPr="00915C03" w:rsidRDefault="00347A12" w:rsidP="00347A12">
      <w:pPr>
        <w:jc w:val="both"/>
        <w:rPr>
          <w:rFonts w:ascii="TyponineSans Reg" w:hAnsi="TyponineSans Reg"/>
          <w:b/>
          <w:szCs w:val="22"/>
        </w:rPr>
      </w:pPr>
      <w:r w:rsidRPr="00915C03">
        <w:rPr>
          <w:rFonts w:ascii="TyponineSans Reg" w:hAnsi="TyponineSans Reg"/>
          <w:b/>
          <w:szCs w:val="22"/>
        </w:rPr>
        <w:t>AOP 10</w:t>
      </w:r>
      <w:r w:rsidR="00E11D56">
        <w:rPr>
          <w:rFonts w:ascii="TyponineSans Reg" w:hAnsi="TyponineSans Reg"/>
          <w:b/>
          <w:szCs w:val="22"/>
        </w:rPr>
        <w:t>7</w:t>
      </w:r>
    </w:p>
    <w:p w14:paraId="5F2BE7E8" w14:textId="77777777" w:rsidR="00347A12" w:rsidRPr="00915C03" w:rsidRDefault="00347A12" w:rsidP="00347A12">
      <w:pPr>
        <w:jc w:val="both"/>
        <w:rPr>
          <w:rFonts w:ascii="TyponineSans Reg" w:hAnsi="TyponineSans Reg"/>
          <w:b/>
          <w:szCs w:val="22"/>
        </w:rPr>
      </w:pPr>
      <w:r w:rsidRPr="00915C03">
        <w:rPr>
          <w:rFonts w:ascii="TyponineSans Reg" w:hAnsi="TyponineSans Reg"/>
          <w:b/>
          <w:szCs w:val="22"/>
        </w:rPr>
        <w:t>Prihodi po posebnim propisima</w:t>
      </w:r>
    </w:p>
    <w:p w14:paraId="326C9F13" w14:textId="77777777" w:rsidR="00347A12" w:rsidRPr="00915C03" w:rsidRDefault="00347A12" w:rsidP="00347A12">
      <w:pPr>
        <w:jc w:val="both"/>
        <w:rPr>
          <w:rFonts w:ascii="TyponineSans Reg" w:hAnsi="TyponineSans Reg"/>
          <w:b/>
          <w:szCs w:val="22"/>
        </w:rPr>
      </w:pPr>
    </w:p>
    <w:p w14:paraId="0C1F760B" w14:textId="3D91C98D" w:rsidR="00347A12" w:rsidRPr="00915C03" w:rsidRDefault="00347A12" w:rsidP="00347A12">
      <w:pPr>
        <w:jc w:val="both"/>
        <w:rPr>
          <w:rFonts w:ascii="TyponineSans Reg" w:hAnsi="TyponineSans Reg"/>
          <w:szCs w:val="22"/>
        </w:rPr>
      </w:pPr>
      <w:r w:rsidRPr="00915C03">
        <w:rPr>
          <w:rFonts w:ascii="TyponineSans Reg" w:hAnsi="TyponineSans Reg"/>
          <w:szCs w:val="22"/>
        </w:rPr>
        <w:t>Prihodi po posebnim propisima ostvareni su u ukupnom iznosu od</w:t>
      </w:r>
      <w:r w:rsidR="004A41D6" w:rsidRPr="00915C03">
        <w:rPr>
          <w:rFonts w:ascii="TyponineSans Reg" w:hAnsi="TyponineSans Reg"/>
          <w:szCs w:val="22"/>
        </w:rPr>
        <w:t xml:space="preserve"> 19.246.701</w:t>
      </w:r>
      <w:r w:rsidRPr="00915C03">
        <w:rPr>
          <w:rFonts w:ascii="TyponineSans Reg" w:hAnsi="TyponineSans Reg"/>
          <w:szCs w:val="22"/>
        </w:rPr>
        <w:t xml:space="preserve"> kn odnose se na sljedeće stavke:</w:t>
      </w:r>
    </w:p>
    <w:p w14:paraId="2E004B2E" w14:textId="759B46F3" w:rsidR="00347A12" w:rsidRPr="00915C03" w:rsidRDefault="00347A12" w:rsidP="00347A12">
      <w:pPr>
        <w:numPr>
          <w:ilvl w:val="0"/>
          <w:numId w:val="18"/>
        </w:numPr>
        <w:jc w:val="both"/>
        <w:rPr>
          <w:rFonts w:ascii="TyponineSans Reg" w:hAnsi="TyponineSans Reg"/>
          <w:szCs w:val="22"/>
        </w:rPr>
      </w:pPr>
      <w:r w:rsidRPr="00915C03">
        <w:rPr>
          <w:rFonts w:ascii="TyponineSans Reg" w:hAnsi="TyponineSans Reg"/>
          <w:szCs w:val="22"/>
        </w:rPr>
        <w:t>refundacije od osiguravajućeg društva u iznosu od 13</w:t>
      </w:r>
      <w:r w:rsidR="004A41D6" w:rsidRPr="00915C03">
        <w:rPr>
          <w:rFonts w:ascii="TyponineSans Reg" w:hAnsi="TyponineSans Reg"/>
          <w:szCs w:val="22"/>
        </w:rPr>
        <w:t>2.508</w:t>
      </w:r>
      <w:r w:rsidRPr="00915C03">
        <w:rPr>
          <w:rFonts w:ascii="TyponineSans Reg" w:hAnsi="TyponineSans Reg"/>
          <w:szCs w:val="22"/>
        </w:rPr>
        <w:t xml:space="preserve"> kn</w:t>
      </w:r>
    </w:p>
    <w:p w14:paraId="5C50EC9D" w14:textId="4952CFEB" w:rsidR="00347A12" w:rsidRPr="00915C03" w:rsidRDefault="00347A12" w:rsidP="00347A12">
      <w:pPr>
        <w:numPr>
          <w:ilvl w:val="0"/>
          <w:numId w:val="18"/>
        </w:numPr>
        <w:jc w:val="both"/>
        <w:rPr>
          <w:rFonts w:ascii="TyponineSans Reg" w:hAnsi="TyponineSans Reg"/>
          <w:szCs w:val="22"/>
        </w:rPr>
      </w:pPr>
      <w:r w:rsidRPr="00915C03">
        <w:rPr>
          <w:rFonts w:ascii="TyponineSans Reg" w:hAnsi="TyponineSans Reg"/>
          <w:szCs w:val="22"/>
        </w:rPr>
        <w:t xml:space="preserve">refundacije za lučku pristojbu u iznosu od </w:t>
      </w:r>
      <w:r w:rsidR="00915C03" w:rsidRPr="00915C03">
        <w:rPr>
          <w:rFonts w:ascii="TyponineSans Reg" w:hAnsi="TyponineSans Reg"/>
          <w:szCs w:val="22"/>
        </w:rPr>
        <w:t>335.111</w:t>
      </w:r>
      <w:r w:rsidRPr="00915C03">
        <w:rPr>
          <w:rFonts w:ascii="TyponineSans Reg" w:hAnsi="TyponineSans Reg"/>
          <w:szCs w:val="22"/>
        </w:rPr>
        <w:t xml:space="preserve"> kn</w:t>
      </w:r>
    </w:p>
    <w:p w14:paraId="27923920" w14:textId="62097CBF" w:rsidR="00347A12" w:rsidRPr="00915C03" w:rsidRDefault="00347A12" w:rsidP="00347A12">
      <w:pPr>
        <w:numPr>
          <w:ilvl w:val="0"/>
          <w:numId w:val="18"/>
        </w:numPr>
        <w:jc w:val="both"/>
        <w:rPr>
          <w:rFonts w:ascii="TyponineSans Reg" w:hAnsi="TyponineSans Reg"/>
          <w:szCs w:val="22"/>
        </w:rPr>
      </w:pPr>
      <w:r w:rsidRPr="00915C03">
        <w:rPr>
          <w:rFonts w:ascii="TyponineSans Reg" w:hAnsi="TyponineSans Reg"/>
          <w:szCs w:val="22"/>
        </w:rPr>
        <w:t xml:space="preserve">prihode od obavljanja izletničke djelatnosti ostvarene u ukupnom iznosu od </w:t>
      </w:r>
      <w:r w:rsidR="00915C03" w:rsidRPr="00915C03">
        <w:rPr>
          <w:rFonts w:ascii="TyponineSans Reg" w:hAnsi="TyponineSans Reg"/>
          <w:szCs w:val="22"/>
        </w:rPr>
        <w:t>18.779.082</w:t>
      </w:r>
      <w:r w:rsidRPr="00915C03">
        <w:rPr>
          <w:rFonts w:ascii="TyponineSans Reg" w:hAnsi="TyponineSans Reg"/>
          <w:szCs w:val="22"/>
        </w:rPr>
        <w:t xml:space="preserve"> kn i kao takvi </w:t>
      </w:r>
      <w:r w:rsidR="00915C03" w:rsidRPr="00915C03">
        <w:rPr>
          <w:rFonts w:ascii="TyponineSans Reg" w:hAnsi="TyponineSans Reg"/>
          <w:szCs w:val="22"/>
        </w:rPr>
        <w:t>veći su za 121,87</w:t>
      </w:r>
      <w:r w:rsidRPr="00915C03">
        <w:rPr>
          <w:rFonts w:ascii="TyponineSans Reg" w:hAnsi="TyponineSans Reg"/>
          <w:szCs w:val="22"/>
        </w:rPr>
        <w:t xml:space="preserve">% u odnosu na ostvarenje prethodne godine iz razloga </w:t>
      </w:r>
      <w:r w:rsidR="00915C03" w:rsidRPr="00915C03">
        <w:rPr>
          <w:rFonts w:ascii="TyponineSans Reg" w:hAnsi="TyponineSans Reg"/>
          <w:szCs w:val="22"/>
        </w:rPr>
        <w:t xml:space="preserve">što su 2020. godine radi </w:t>
      </w:r>
      <w:r w:rsidRPr="00915C03">
        <w:rPr>
          <w:rFonts w:ascii="TyponineSans Reg" w:hAnsi="TyponineSans Reg"/>
          <w:szCs w:val="22"/>
        </w:rPr>
        <w:t xml:space="preserve">pojave pandemije izazvane virusom Covid 19 </w:t>
      </w:r>
      <w:r w:rsidR="00915C03" w:rsidRPr="00915C03">
        <w:rPr>
          <w:rFonts w:ascii="TyponineSans Reg" w:hAnsi="TyponineSans Reg"/>
          <w:szCs w:val="22"/>
        </w:rPr>
        <w:t xml:space="preserve">donesene mjere zatvaranja područja nacionalnih parkova za posjećivanje </w:t>
      </w:r>
      <w:r w:rsidRPr="00915C03">
        <w:rPr>
          <w:rFonts w:ascii="TyponineSans Reg" w:hAnsi="TyponineSans Reg"/>
          <w:szCs w:val="22"/>
        </w:rPr>
        <w:t xml:space="preserve">i definiranje uvjeta obavljanja posjetiteljske djelatnosti (ograničeni broj posjetielja). </w:t>
      </w:r>
      <w:r w:rsidR="00915C03" w:rsidRPr="00915C03">
        <w:rPr>
          <w:rFonts w:ascii="TyponineSans Reg" w:hAnsi="TyponineSans Reg"/>
          <w:szCs w:val="22"/>
        </w:rPr>
        <w:t>Prihodi od obavljanja izletničke djelatnosi ostvarene su i veće od plana 2021. godine i to 5,50 %.</w:t>
      </w:r>
    </w:p>
    <w:p w14:paraId="17B08988" w14:textId="77777777" w:rsidR="00347A12" w:rsidRPr="00437CA9" w:rsidRDefault="00347A12" w:rsidP="00347A12">
      <w:pPr>
        <w:jc w:val="both"/>
        <w:rPr>
          <w:rFonts w:ascii="TyponineSans Reg" w:hAnsi="TyponineSans Reg"/>
          <w:color w:val="FF0000"/>
          <w:szCs w:val="22"/>
        </w:rPr>
      </w:pPr>
    </w:p>
    <w:p w14:paraId="4AFABC3F" w14:textId="77777777" w:rsidR="00A1592A" w:rsidRDefault="00A1592A" w:rsidP="00347A12">
      <w:pPr>
        <w:jc w:val="both"/>
        <w:rPr>
          <w:rFonts w:ascii="TyponineSans Reg" w:hAnsi="TyponineSans Reg"/>
          <w:b/>
          <w:sz w:val="24"/>
          <w:szCs w:val="24"/>
        </w:rPr>
      </w:pPr>
    </w:p>
    <w:p w14:paraId="02851CA0" w14:textId="77777777" w:rsidR="00A1592A" w:rsidRDefault="00A1592A" w:rsidP="00347A12">
      <w:pPr>
        <w:jc w:val="both"/>
        <w:rPr>
          <w:rFonts w:ascii="TyponineSans Reg" w:hAnsi="TyponineSans Reg"/>
          <w:b/>
          <w:sz w:val="24"/>
          <w:szCs w:val="24"/>
        </w:rPr>
      </w:pPr>
    </w:p>
    <w:p w14:paraId="0A909A70" w14:textId="77777777" w:rsidR="00A1592A" w:rsidRDefault="00A1592A" w:rsidP="00347A12">
      <w:pPr>
        <w:jc w:val="both"/>
        <w:rPr>
          <w:rFonts w:ascii="TyponineSans Reg" w:hAnsi="TyponineSans Reg"/>
          <w:b/>
          <w:sz w:val="24"/>
          <w:szCs w:val="24"/>
        </w:rPr>
      </w:pPr>
    </w:p>
    <w:p w14:paraId="6A98E86A" w14:textId="47A7C72B" w:rsidR="00347A12" w:rsidRPr="00A1592A" w:rsidRDefault="00347A12" w:rsidP="00347A12">
      <w:pPr>
        <w:jc w:val="both"/>
        <w:rPr>
          <w:rFonts w:ascii="TyponineSans Reg" w:hAnsi="TyponineSans Reg"/>
          <w:b/>
          <w:sz w:val="24"/>
          <w:szCs w:val="24"/>
        </w:rPr>
      </w:pPr>
      <w:r w:rsidRPr="00A1592A">
        <w:rPr>
          <w:rFonts w:ascii="TyponineSans Reg" w:hAnsi="TyponineSans Reg"/>
          <w:b/>
          <w:sz w:val="24"/>
          <w:szCs w:val="24"/>
        </w:rPr>
        <w:t>AOP 1</w:t>
      </w:r>
      <w:r w:rsidR="00E11D56" w:rsidRPr="00A1592A">
        <w:rPr>
          <w:rFonts w:ascii="TyponineSans Reg" w:hAnsi="TyponineSans Reg"/>
          <w:b/>
          <w:sz w:val="24"/>
          <w:szCs w:val="24"/>
        </w:rPr>
        <w:t>19</w:t>
      </w:r>
    </w:p>
    <w:p w14:paraId="07192BB0" w14:textId="77777777" w:rsidR="00347A12" w:rsidRPr="00A1592A" w:rsidRDefault="00347A12" w:rsidP="00347A12">
      <w:pPr>
        <w:jc w:val="both"/>
        <w:rPr>
          <w:rFonts w:ascii="TyponineSans Reg" w:hAnsi="TyponineSans Reg"/>
          <w:b/>
          <w:sz w:val="24"/>
          <w:szCs w:val="24"/>
        </w:rPr>
      </w:pPr>
      <w:r w:rsidRPr="00A1592A">
        <w:rPr>
          <w:rFonts w:ascii="TyponineSans Reg" w:hAnsi="TyponineSans Reg"/>
          <w:b/>
          <w:sz w:val="24"/>
          <w:szCs w:val="24"/>
        </w:rPr>
        <w:t>Prihodi od prodaje proizvoda i robe te pruženih usluga i prihodi od donacija</w:t>
      </w:r>
    </w:p>
    <w:p w14:paraId="6BADB81B" w14:textId="77777777" w:rsidR="00347A12" w:rsidRPr="00A1592A" w:rsidRDefault="00347A12" w:rsidP="00347A12">
      <w:pPr>
        <w:jc w:val="both"/>
        <w:rPr>
          <w:rFonts w:ascii="TyponineSans Reg" w:hAnsi="TyponineSans Reg"/>
          <w:b/>
          <w:sz w:val="24"/>
          <w:szCs w:val="24"/>
        </w:rPr>
      </w:pPr>
    </w:p>
    <w:p w14:paraId="027CD45B" w14:textId="79E6E4DF" w:rsidR="00347A12" w:rsidRPr="00F11406" w:rsidRDefault="00347A12" w:rsidP="00347A12">
      <w:pPr>
        <w:jc w:val="both"/>
        <w:rPr>
          <w:rFonts w:ascii="TyponineSans Reg" w:hAnsi="TyponineSans Reg"/>
          <w:szCs w:val="22"/>
        </w:rPr>
      </w:pPr>
      <w:r w:rsidRPr="00F11406">
        <w:rPr>
          <w:rFonts w:ascii="TyponineSans Reg" w:hAnsi="TyponineSans Reg"/>
          <w:szCs w:val="22"/>
        </w:rPr>
        <w:t xml:space="preserve">Prihodi od prodaje proizvoda i roba te pruženih usluga I prihodi od donacija ostvareni su u ukupnom iznosu od </w:t>
      </w:r>
      <w:r w:rsidR="00B90889" w:rsidRPr="00F11406">
        <w:rPr>
          <w:rFonts w:ascii="TyponineSans Reg" w:hAnsi="TyponineSans Reg"/>
          <w:szCs w:val="22"/>
        </w:rPr>
        <w:t>42.509.462</w:t>
      </w:r>
      <w:r w:rsidRPr="00F11406">
        <w:rPr>
          <w:rFonts w:ascii="TyponineSans Reg" w:hAnsi="TyponineSans Reg"/>
          <w:szCs w:val="22"/>
        </w:rPr>
        <w:t xml:space="preserve"> kn i odnose se na sljedeće stavke prihoda:</w:t>
      </w:r>
    </w:p>
    <w:p w14:paraId="09EB53F2" w14:textId="562EF0E4" w:rsidR="00347A12" w:rsidRPr="00F11406" w:rsidRDefault="00347A12" w:rsidP="00347A12">
      <w:pPr>
        <w:numPr>
          <w:ilvl w:val="0"/>
          <w:numId w:val="10"/>
        </w:numPr>
        <w:jc w:val="both"/>
        <w:rPr>
          <w:rFonts w:ascii="TyponineSans Reg" w:hAnsi="TyponineSans Reg"/>
          <w:szCs w:val="22"/>
        </w:rPr>
      </w:pPr>
      <w:r w:rsidRPr="00F11406">
        <w:rPr>
          <w:rFonts w:ascii="TyponineSans Reg" w:hAnsi="TyponineSans Reg"/>
          <w:szCs w:val="22"/>
        </w:rPr>
        <w:t xml:space="preserve">Prihodi od prodaje roba i suvenira u suvenirnicama Ustanove u ukupnom iznosu od </w:t>
      </w:r>
      <w:r w:rsidR="00B90889" w:rsidRPr="00F11406">
        <w:rPr>
          <w:rFonts w:ascii="TyponineSans Reg" w:hAnsi="TyponineSans Reg"/>
          <w:szCs w:val="22"/>
        </w:rPr>
        <w:t xml:space="preserve">4.108 </w:t>
      </w:r>
      <w:r w:rsidRPr="00F11406">
        <w:rPr>
          <w:rFonts w:ascii="TyponineSans Reg" w:hAnsi="TyponineSans Reg"/>
          <w:szCs w:val="22"/>
        </w:rPr>
        <w:t>kn, što je u raznini ostvarenih u 20</w:t>
      </w:r>
      <w:r w:rsidR="00B90889" w:rsidRPr="00F11406">
        <w:rPr>
          <w:rFonts w:ascii="TyponineSans Reg" w:hAnsi="TyponineSans Reg"/>
          <w:szCs w:val="22"/>
        </w:rPr>
        <w:t>20</w:t>
      </w:r>
      <w:r w:rsidRPr="00F11406">
        <w:rPr>
          <w:rFonts w:ascii="TyponineSans Reg" w:hAnsi="TyponineSans Reg"/>
          <w:szCs w:val="22"/>
        </w:rPr>
        <w:t xml:space="preserve">. godini. Isti ostaju nepromijenjeni   u odnosu na prethodnu godinu budući da su suvenirnice Ustanove dane u najam te se iskazani prihod odnosi na prodaju preostalih zaliha robe. </w:t>
      </w:r>
    </w:p>
    <w:p w14:paraId="240016D4" w14:textId="398D4B60" w:rsidR="00347A12" w:rsidRPr="00F11406" w:rsidRDefault="00347A12" w:rsidP="00347A12">
      <w:pPr>
        <w:numPr>
          <w:ilvl w:val="0"/>
          <w:numId w:val="10"/>
        </w:numPr>
        <w:jc w:val="both"/>
        <w:rPr>
          <w:rFonts w:ascii="TyponineSans Reg" w:hAnsi="TyponineSans Reg"/>
          <w:szCs w:val="22"/>
        </w:rPr>
      </w:pPr>
      <w:r w:rsidRPr="00F11406">
        <w:rPr>
          <w:rFonts w:ascii="TyponineSans Reg" w:hAnsi="TyponineSans Reg"/>
          <w:szCs w:val="22"/>
        </w:rPr>
        <w:t xml:space="preserve">Prihodi od prodaje trgovačke robe (sladoledi, cigarete i sl.) na šankovima Ustanove u iznosu od </w:t>
      </w:r>
      <w:r w:rsidR="00B90889" w:rsidRPr="00F11406">
        <w:rPr>
          <w:rFonts w:ascii="TyponineSans Reg" w:hAnsi="TyponineSans Reg"/>
          <w:szCs w:val="22"/>
        </w:rPr>
        <w:t>526.712</w:t>
      </w:r>
      <w:r w:rsidRPr="00F11406">
        <w:rPr>
          <w:rFonts w:ascii="TyponineSans Reg" w:hAnsi="TyponineSans Reg"/>
          <w:szCs w:val="22"/>
        </w:rPr>
        <w:t xml:space="preserve"> kn što je za </w:t>
      </w:r>
      <w:r w:rsidR="00B90889" w:rsidRPr="00F11406">
        <w:rPr>
          <w:rFonts w:ascii="TyponineSans Reg" w:hAnsi="TyponineSans Reg"/>
          <w:szCs w:val="22"/>
        </w:rPr>
        <w:t>94,44</w:t>
      </w:r>
      <w:r w:rsidRPr="00F11406">
        <w:rPr>
          <w:rFonts w:ascii="TyponineSans Reg" w:hAnsi="TyponineSans Reg"/>
          <w:szCs w:val="22"/>
        </w:rPr>
        <w:t xml:space="preserve">% </w:t>
      </w:r>
      <w:r w:rsidR="00B90889" w:rsidRPr="00F11406">
        <w:rPr>
          <w:rFonts w:ascii="TyponineSans Reg" w:hAnsi="TyponineSans Reg"/>
          <w:szCs w:val="22"/>
        </w:rPr>
        <w:t xml:space="preserve">više </w:t>
      </w:r>
      <w:r w:rsidRPr="00F11406">
        <w:rPr>
          <w:rFonts w:ascii="TyponineSans Reg" w:hAnsi="TyponineSans Reg"/>
          <w:szCs w:val="22"/>
        </w:rPr>
        <w:t xml:space="preserve">od prethodne godine iz razloga što je </w:t>
      </w:r>
      <w:r w:rsidR="00B90889" w:rsidRPr="00F11406">
        <w:rPr>
          <w:rFonts w:ascii="TyponineSans Reg" w:hAnsi="TyponineSans Reg"/>
          <w:szCs w:val="22"/>
        </w:rPr>
        <w:t>povećana</w:t>
      </w:r>
      <w:r w:rsidRPr="00F11406">
        <w:rPr>
          <w:rFonts w:ascii="TyponineSans Reg" w:hAnsi="TyponineSans Reg"/>
          <w:szCs w:val="22"/>
        </w:rPr>
        <w:t xml:space="preserve"> potražnja za navedenom trgovačkom robom</w:t>
      </w:r>
      <w:r w:rsidR="00B90889" w:rsidRPr="00F11406">
        <w:rPr>
          <w:rFonts w:ascii="TyponineSans Reg" w:hAnsi="TyponineSans Reg"/>
          <w:szCs w:val="22"/>
        </w:rPr>
        <w:t xml:space="preserve"> kao i povećanog broja gostiju.</w:t>
      </w:r>
    </w:p>
    <w:p w14:paraId="3278780F" w14:textId="434C478F" w:rsidR="00347A12" w:rsidRPr="00F11406" w:rsidRDefault="00347A12" w:rsidP="00347A12">
      <w:pPr>
        <w:numPr>
          <w:ilvl w:val="0"/>
          <w:numId w:val="10"/>
        </w:numPr>
        <w:jc w:val="both"/>
        <w:rPr>
          <w:rFonts w:ascii="TyponineSans Reg" w:hAnsi="TyponineSans Reg"/>
          <w:szCs w:val="22"/>
        </w:rPr>
      </w:pPr>
      <w:r w:rsidRPr="00F11406">
        <w:rPr>
          <w:rFonts w:ascii="TyponineSans Reg" w:hAnsi="TyponineSans Reg"/>
          <w:szCs w:val="22"/>
        </w:rPr>
        <w:t xml:space="preserve">Prihodi od pruženih hotelijerskih usluga u iznosu od </w:t>
      </w:r>
      <w:r w:rsidR="00B90889" w:rsidRPr="00F11406">
        <w:rPr>
          <w:rFonts w:ascii="TyponineSans Reg" w:hAnsi="TyponineSans Reg"/>
          <w:szCs w:val="22"/>
        </w:rPr>
        <w:t>41.402.773</w:t>
      </w:r>
      <w:r w:rsidRPr="00F11406">
        <w:rPr>
          <w:rFonts w:ascii="TyponineSans Reg" w:hAnsi="TyponineSans Reg"/>
          <w:szCs w:val="22"/>
        </w:rPr>
        <w:t xml:space="preserve"> kn, od kojih se 1</w:t>
      </w:r>
      <w:r w:rsidR="00B90889" w:rsidRPr="00F11406">
        <w:rPr>
          <w:rFonts w:ascii="TyponineSans Reg" w:hAnsi="TyponineSans Reg"/>
          <w:szCs w:val="22"/>
        </w:rPr>
        <w:t>7.004.978</w:t>
      </w:r>
      <w:r w:rsidRPr="00F11406">
        <w:rPr>
          <w:rFonts w:ascii="TyponineSans Reg" w:hAnsi="TyponineSans Reg"/>
          <w:szCs w:val="22"/>
        </w:rPr>
        <w:t xml:space="preserve"> kn odnosi na prihode od smještaja, </w:t>
      </w:r>
      <w:r w:rsidR="00B90889" w:rsidRPr="00F11406">
        <w:rPr>
          <w:rFonts w:ascii="TyponineSans Reg" w:hAnsi="TyponineSans Reg"/>
          <w:szCs w:val="22"/>
        </w:rPr>
        <w:t>9.605.238</w:t>
      </w:r>
      <w:r w:rsidRPr="00F11406">
        <w:rPr>
          <w:rFonts w:ascii="TyponineSans Reg" w:hAnsi="TyponineSans Reg"/>
          <w:szCs w:val="22"/>
        </w:rPr>
        <w:t xml:space="preserve"> kn na prihode od ugostiteljskih usluga, prihode od sporta u iznosu od </w:t>
      </w:r>
      <w:r w:rsidR="00B90889" w:rsidRPr="00F11406">
        <w:rPr>
          <w:rFonts w:ascii="TyponineSans Reg" w:hAnsi="TyponineSans Reg"/>
          <w:szCs w:val="22"/>
        </w:rPr>
        <w:t>8.046.570</w:t>
      </w:r>
      <w:r w:rsidRPr="00F11406">
        <w:rPr>
          <w:rFonts w:ascii="TyponineSans Reg" w:hAnsi="TyponineSans Reg"/>
          <w:szCs w:val="22"/>
        </w:rPr>
        <w:t xml:space="preserve"> kn, prihode od veza broda 2.</w:t>
      </w:r>
      <w:r w:rsidR="00B90889" w:rsidRPr="00F11406">
        <w:rPr>
          <w:rFonts w:ascii="TyponineSans Reg" w:hAnsi="TyponineSans Reg"/>
          <w:szCs w:val="22"/>
        </w:rPr>
        <w:t>789.264</w:t>
      </w:r>
      <w:r w:rsidRPr="00F11406">
        <w:rPr>
          <w:rFonts w:ascii="TyponineSans Reg" w:hAnsi="TyponineSans Reg"/>
          <w:szCs w:val="22"/>
        </w:rPr>
        <w:t xml:space="preserve"> kn, te ostalih Prihoda u iznosu od </w:t>
      </w:r>
      <w:r w:rsidR="00B90889" w:rsidRPr="00F11406">
        <w:rPr>
          <w:rFonts w:ascii="TyponineSans Reg" w:hAnsi="TyponineSans Reg"/>
          <w:szCs w:val="22"/>
        </w:rPr>
        <w:t>3.956.723</w:t>
      </w:r>
      <w:r w:rsidRPr="00F11406">
        <w:rPr>
          <w:rFonts w:ascii="TyponineSans Reg" w:hAnsi="TyponineSans Reg"/>
          <w:szCs w:val="22"/>
        </w:rPr>
        <w:t xml:space="preserve"> kn. Prihodi od pruženih hotelijerskih usluga </w:t>
      </w:r>
      <w:r w:rsidR="00B90889" w:rsidRPr="00F11406">
        <w:rPr>
          <w:rFonts w:ascii="TyponineSans Reg" w:hAnsi="TyponineSans Reg"/>
          <w:szCs w:val="22"/>
        </w:rPr>
        <w:t xml:space="preserve">veći </w:t>
      </w:r>
      <w:r w:rsidRPr="00F11406">
        <w:rPr>
          <w:rFonts w:ascii="TyponineSans Reg" w:hAnsi="TyponineSans Reg"/>
          <w:szCs w:val="22"/>
        </w:rPr>
        <w:t xml:space="preserve"> su u odnosu na ostvarene u 20</w:t>
      </w:r>
      <w:r w:rsidR="008221A8" w:rsidRPr="00F11406">
        <w:rPr>
          <w:rFonts w:ascii="TyponineSans Reg" w:hAnsi="TyponineSans Reg"/>
          <w:szCs w:val="22"/>
        </w:rPr>
        <w:t>20</w:t>
      </w:r>
      <w:r w:rsidR="00B90889" w:rsidRPr="00F11406">
        <w:rPr>
          <w:rFonts w:ascii="TyponineSans Reg" w:hAnsi="TyponineSans Reg"/>
          <w:szCs w:val="22"/>
        </w:rPr>
        <w:t xml:space="preserve">. </w:t>
      </w:r>
      <w:r w:rsidRPr="00F11406">
        <w:rPr>
          <w:rFonts w:ascii="TyponineSans Reg" w:hAnsi="TyponineSans Reg"/>
          <w:szCs w:val="22"/>
        </w:rPr>
        <w:t xml:space="preserve">godini za </w:t>
      </w:r>
      <w:r w:rsidR="008221A8" w:rsidRPr="00F11406">
        <w:rPr>
          <w:rFonts w:ascii="TyponineSans Reg" w:hAnsi="TyponineSans Reg"/>
          <w:szCs w:val="22"/>
        </w:rPr>
        <w:t>72,46% odnosno 17.395.552 kn.</w:t>
      </w:r>
    </w:p>
    <w:p w14:paraId="765CA59A" w14:textId="53D456AD" w:rsidR="00EC7CCF" w:rsidRPr="00F11406" w:rsidRDefault="00347A12" w:rsidP="00347A12">
      <w:pPr>
        <w:numPr>
          <w:ilvl w:val="0"/>
          <w:numId w:val="10"/>
        </w:numPr>
        <w:jc w:val="both"/>
        <w:rPr>
          <w:rFonts w:ascii="TyponineSans Reg" w:hAnsi="TyponineSans Reg"/>
          <w:szCs w:val="22"/>
        </w:rPr>
      </w:pPr>
      <w:r w:rsidRPr="00F11406">
        <w:rPr>
          <w:rFonts w:ascii="TyponineSans Reg" w:hAnsi="TyponineSans Reg"/>
          <w:szCs w:val="22"/>
        </w:rPr>
        <w:t>Prihodi od pruženih ostalih usluga</w:t>
      </w:r>
      <w:r w:rsidR="008221A8" w:rsidRPr="00F11406">
        <w:rPr>
          <w:rFonts w:ascii="TyponineSans Reg" w:hAnsi="TyponineSans Reg"/>
          <w:szCs w:val="22"/>
        </w:rPr>
        <w:t xml:space="preserve"> ostvareni su u iznosu od 3.956.723 kn ,    koje čine </w:t>
      </w:r>
      <w:r w:rsidRPr="00F11406">
        <w:rPr>
          <w:rFonts w:ascii="TyponineSans Reg" w:hAnsi="TyponineSans Reg"/>
          <w:szCs w:val="22"/>
        </w:rPr>
        <w:t xml:space="preserve">usluge od iznajmljivanja prostora za postavljene bankomate, usluge od pruženih koncesija za oplovaljvanje odnosno turističko posječivanje plovilima, prihodi od naplaćenih naknada za ronilačke zarone, prihodi od pruženih usluga prijevoza i prihodi od ostalih usluga ostvareni su u ukupnom iznosu od </w:t>
      </w:r>
      <w:r w:rsidR="00EC7CCF" w:rsidRPr="00F11406">
        <w:rPr>
          <w:rFonts w:ascii="TyponineSans Reg" w:hAnsi="TyponineSans Reg"/>
          <w:szCs w:val="22"/>
        </w:rPr>
        <w:t>1.584.864</w:t>
      </w:r>
      <w:r w:rsidRPr="00F11406">
        <w:rPr>
          <w:rFonts w:ascii="TyponineSans Reg" w:hAnsi="TyponineSans Reg"/>
          <w:szCs w:val="22"/>
        </w:rPr>
        <w:t xml:space="preserve"> kn koji su </w:t>
      </w:r>
      <w:r w:rsidR="00EC7CCF" w:rsidRPr="00F11406">
        <w:rPr>
          <w:rFonts w:ascii="TyponineSans Reg" w:hAnsi="TyponineSans Reg"/>
          <w:szCs w:val="22"/>
        </w:rPr>
        <w:t xml:space="preserve">veći u </w:t>
      </w:r>
      <w:r w:rsidRPr="00F11406">
        <w:rPr>
          <w:rFonts w:ascii="TyponineSans Reg" w:hAnsi="TyponineSans Reg"/>
          <w:szCs w:val="22"/>
        </w:rPr>
        <w:t xml:space="preserve"> odnosu na ostvarene u 20</w:t>
      </w:r>
      <w:r w:rsidR="00EC7CCF" w:rsidRPr="00F11406">
        <w:rPr>
          <w:rFonts w:ascii="TyponineSans Reg" w:hAnsi="TyponineSans Reg"/>
          <w:szCs w:val="22"/>
        </w:rPr>
        <w:t>20</w:t>
      </w:r>
      <w:r w:rsidRPr="00F11406">
        <w:rPr>
          <w:rFonts w:ascii="TyponineSans Reg" w:hAnsi="TyponineSans Reg"/>
          <w:szCs w:val="22"/>
        </w:rPr>
        <w:t xml:space="preserve">. godini za </w:t>
      </w:r>
      <w:r w:rsidR="00EC7CCF" w:rsidRPr="00F11406">
        <w:rPr>
          <w:rFonts w:ascii="TyponineSans Reg" w:hAnsi="TyponineSans Reg"/>
          <w:szCs w:val="22"/>
        </w:rPr>
        <w:t>180</w:t>
      </w:r>
      <w:r w:rsidRPr="00F11406">
        <w:rPr>
          <w:rFonts w:ascii="TyponineSans Reg" w:hAnsi="TyponineSans Reg"/>
          <w:szCs w:val="22"/>
        </w:rPr>
        <w:t xml:space="preserve">%. Do </w:t>
      </w:r>
      <w:r w:rsidR="00EC7CCF" w:rsidRPr="00F11406">
        <w:rPr>
          <w:rFonts w:ascii="TyponineSans Reg" w:hAnsi="TyponineSans Reg"/>
          <w:szCs w:val="22"/>
        </w:rPr>
        <w:t xml:space="preserve">povećanja je došlo iz razloga što </w:t>
      </w:r>
      <w:r w:rsidR="00F11406">
        <w:rPr>
          <w:rFonts w:ascii="TyponineSans Reg" w:hAnsi="TyponineSans Reg"/>
          <w:szCs w:val="22"/>
        </w:rPr>
        <w:t xml:space="preserve">je </w:t>
      </w:r>
      <w:r w:rsidR="00EC7CCF" w:rsidRPr="00F11406">
        <w:rPr>
          <w:rFonts w:ascii="TyponineSans Reg" w:hAnsi="TyponineSans Reg"/>
          <w:szCs w:val="22"/>
        </w:rPr>
        <w:t>2020. godina bila godina pandemije i značajnog smanjenja poslovanja pa samim time i prihoda.</w:t>
      </w:r>
    </w:p>
    <w:p w14:paraId="41E4DA41" w14:textId="01F6D9DE" w:rsidR="00347A12" w:rsidRPr="00F11406" w:rsidRDefault="00347A12" w:rsidP="00347A12">
      <w:pPr>
        <w:numPr>
          <w:ilvl w:val="0"/>
          <w:numId w:val="10"/>
        </w:numPr>
        <w:jc w:val="both"/>
        <w:rPr>
          <w:rFonts w:ascii="TyponineSans Reg" w:hAnsi="TyponineSans Reg"/>
          <w:szCs w:val="22"/>
        </w:rPr>
      </w:pPr>
      <w:r w:rsidRPr="00F11406">
        <w:rPr>
          <w:rFonts w:ascii="TyponineSans Reg" w:hAnsi="TyponineSans Reg"/>
          <w:szCs w:val="22"/>
        </w:rPr>
        <w:t xml:space="preserve">Prihodi od pruženih usluga MORH-u i Državnim nekretninama u iznosu od </w:t>
      </w:r>
      <w:r w:rsidR="008221A8" w:rsidRPr="00F11406">
        <w:rPr>
          <w:rFonts w:ascii="TyponineSans Reg" w:hAnsi="TyponineSans Reg"/>
          <w:szCs w:val="22"/>
        </w:rPr>
        <w:t>994.210</w:t>
      </w:r>
      <w:r w:rsidRPr="00F11406">
        <w:rPr>
          <w:rFonts w:ascii="TyponineSans Reg" w:hAnsi="TyponineSans Reg"/>
          <w:szCs w:val="22"/>
        </w:rPr>
        <w:t xml:space="preserve"> kn što je </w:t>
      </w:r>
      <w:r w:rsidR="008221A8" w:rsidRPr="00F11406">
        <w:rPr>
          <w:rFonts w:ascii="TyponineSans Reg" w:hAnsi="TyponineSans Reg"/>
          <w:szCs w:val="22"/>
        </w:rPr>
        <w:t xml:space="preserve">više ode </w:t>
      </w:r>
      <w:r w:rsidRPr="00F11406">
        <w:rPr>
          <w:rFonts w:ascii="TyponineSans Reg" w:hAnsi="TyponineSans Reg"/>
          <w:szCs w:val="22"/>
        </w:rPr>
        <w:t>ostvarenj</w:t>
      </w:r>
      <w:r w:rsidR="008221A8" w:rsidRPr="00F11406">
        <w:rPr>
          <w:rFonts w:ascii="TyponineSans Reg" w:hAnsi="TyponineSans Reg"/>
          <w:szCs w:val="22"/>
        </w:rPr>
        <w:t>a 2020 godine i to iz razloga što je Ustanova sklopila ugovor o održavanju zelenih površina s Državnim nekretninama d.o.o..</w:t>
      </w:r>
    </w:p>
    <w:p w14:paraId="0395D392" w14:textId="79B08835" w:rsidR="00347A12" w:rsidRPr="00F11406" w:rsidRDefault="00347A12" w:rsidP="00347A12">
      <w:pPr>
        <w:numPr>
          <w:ilvl w:val="0"/>
          <w:numId w:val="10"/>
        </w:numPr>
        <w:jc w:val="both"/>
        <w:rPr>
          <w:rFonts w:ascii="TyponineSans Reg" w:hAnsi="TyponineSans Reg"/>
          <w:szCs w:val="22"/>
        </w:rPr>
      </w:pPr>
      <w:r w:rsidRPr="00F11406">
        <w:rPr>
          <w:rFonts w:ascii="TyponineSans Reg" w:hAnsi="TyponineSans Reg"/>
          <w:szCs w:val="22"/>
        </w:rPr>
        <w:t>Prihodi ostvareni od</w:t>
      </w:r>
      <w:r w:rsidR="00F11406">
        <w:rPr>
          <w:rFonts w:ascii="TyponineSans Reg" w:hAnsi="TyponineSans Reg"/>
          <w:szCs w:val="22"/>
        </w:rPr>
        <w:t xml:space="preserve"> donacija ostvareni su u ukupnom iznosu od 575.177 kn i to </w:t>
      </w:r>
      <w:r w:rsidRPr="00F11406">
        <w:rPr>
          <w:rFonts w:ascii="TyponineSans Reg" w:hAnsi="TyponineSans Reg"/>
          <w:szCs w:val="22"/>
        </w:rPr>
        <w:t xml:space="preserve"> tekućih</w:t>
      </w:r>
      <w:r w:rsidR="00F11406">
        <w:rPr>
          <w:rFonts w:ascii="TyponineSans Reg" w:hAnsi="TyponineSans Reg"/>
          <w:szCs w:val="22"/>
        </w:rPr>
        <w:t xml:space="preserve"> donacija u iznosu  253.508 kn </w:t>
      </w:r>
      <w:r w:rsidRPr="00F11406">
        <w:rPr>
          <w:rFonts w:ascii="TyponineSans Reg" w:hAnsi="TyponineSans Reg"/>
          <w:szCs w:val="22"/>
        </w:rPr>
        <w:t xml:space="preserve"> i kapitalnih donacija u ukupnom iznosu od </w:t>
      </w:r>
      <w:r w:rsidR="00F11406">
        <w:rPr>
          <w:rFonts w:ascii="TyponineSans Reg" w:hAnsi="TyponineSans Reg"/>
          <w:szCs w:val="22"/>
        </w:rPr>
        <w:t>321.669 kn. Tekuće donacije dobivene su za uređenje površina u iznosu od 200.000, kn, izradu dokumentacije 39.200 kn, donacija za slonicu u iznosu od 4.300 kn, te ostale donacije u iznosu od 10.000 kn. Kapitalne donacije dobivene su od fizičkih i pravnih osoba za safari park</w:t>
      </w:r>
      <w:r w:rsidR="004804D1">
        <w:rPr>
          <w:rFonts w:ascii="TyponineSans Reg" w:hAnsi="TyponineSans Reg"/>
          <w:szCs w:val="22"/>
        </w:rPr>
        <w:t xml:space="preserve"> 15.201 kn</w:t>
      </w:r>
      <w:r w:rsidR="00F11406">
        <w:rPr>
          <w:rFonts w:ascii="TyponineSans Reg" w:hAnsi="TyponineSans Reg"/>
          <w:szCs w:val="22"/>
        </w:rPr>
        <w:t>, opremu za hotelijerstvo u iznosu od 306.468 kn</w:t>
      </w:r>
    </w:p>
    <w:p w14:paraId="2557163E" w14:textId="77777777" w:rsidR="00347A12" w:rsidRPr="00437CA9" w:rsidRDefault="00347A12" w:rsidP="00347A12">
      <w:pPr>
        <w:jc w:val="both"/>
        <w:rPr>
          <w:rFonts w:ascii="TyponineSans Reg" w:hAnsi="TyponineSans Reg"/>
          <w:b/>
          <w:color w:val="FF0000"/>
          <w:szCs w:val="22"/>
        </w:rPr>
      </w:pPr>
    </w:p>
    <w:p w14:paraId="79A1FE79" w14:textId="77777777" w:rsidR="00E11D56" w:rsidRDefault="00347A12" w:rsidP="00347A12">
      <w:pPr>
        <w:jc w:val="both"/>
        <w:rPr>
          <w:rFonts w:ascii="TyponineSans Reg" w:hAnsi="TyponineSans Reg"/>
          <w:b/>
          <w:szCs w:val="22"/>
        </w:rPr>
      </w:pPr>
      <w:r w:rsidRPr="00A945DC">
        <w:rPr>
          <w:rFonts w:ascii="TyponineSans Reg" w:hAnsi="TyponineSans Reg"/>
          <w:b/>
          <w:szCs w:val="22"/>
        </w:rPr>
        <w:t>AOP 1</w:t>
      </w:r>
      <w:r w:rsidR="00E11D56">
        <w:rPr>
          <w:rFonts w:ascii="TyponineSans Reg" w:hAnsi="TyponineSans Reg"/>
          <w:b/>
          <w:szCs w:val="22"/>
        </w:rPr>
        <w:t>28</w:t>
      </w:r>
    </w:p>
    <w:p w14:paraId="3DC0CDA3" w14:textId="35B19B5D" w:rsidR="00347A12" w:rsidRPr="00A945DC" w:rsidRDefault="00347A12" w:rsidP="00347A12">
      <w:pPr>
        <w:jc w:val="both"/>
        <w:rPr>
          <w:rFonts w:ascii="TyponineSans Reg" w:hAnsi="TyponineSans Reg"/>
          <w:b/>
          <w:szCs w:val="22"/>
        </w:rPr>
      </w:pPr>
      <w:r w:rsidRPr="00A945DC">
        <w:rPr>
          <w:rFonts w:ascii="TyponineSans Reg" w:hAnsi="TyponineSans Reg"/>
          <w:b/>
          <w:szCs w:val="22"/>
        </w:rPr>
        <w:t>Prihodi iz nadležnog proračuna</w:t>
      </w:r>
    </w:p>
    <w:p w14:paraId="289DB351" w14:textId="77777777" w:rsidR="00347A12" w:rsidRPr="00A945DC" w:rsidRDefault="00347A12" w:rsidP="00347A12">
      <w:pPr>
        <w:jc w:val="both"/>
        <w:rPr>
          <w:rFonts w:ascii="TyponineSans Reg" w:hAnsi="TyponineSans Reg"/>
          <w:bCs/>
          <w:szCs w:val="22"/>
        </w:rPr>
      </w:pPr>
    </w:p>
    <w:p w14:paraId="44F500BE" w14:textId="5D2916CB" w:rsidR="00347A12" w:rsidRPr="00A945DC" w:rsidRDefault="00347A12" w:rsidP="00347A12">
      <w:pPr>
        <w:jc w:val="both"/>
        <w:rPr>
          <w:rFonts w:ascii="TyponineSans Reg" w:hAnsi="TyponineSans Reg"/>
          <w:bCs/>
          <w:szCs w:val="22"/>
        </w:rPr>
      </w:pPr>
      <w:r w:rsidRPr="00A945DC">
        <w:rPr>
          <w:rFonts w:ascii="TyponineSans Reg" w:hAnsi="TyponineSans Reg"/>
          <w:bCs/>
          <w:szCs w:val="22"/>
        </w:rPr>
        <w:t xml:space="preserve">Prihodi iz nadležnog proračuna odnose se na primljena sredstva od nadležnog Ministarstva gospodarstva i održivog razvoja u ukupnom iznosu od </w:t>
      </w:r>
      <w:r w:rsidR="00A945DC">
        <w:rPr>
          <w:rFonts w:ascii="TyponineSans Reg" w:hAnsi="TyponineSans Reg"/>
          <w:bCs/>
          <w:szCs w:val="22"/>
        </w:rPr>
        <w:t>8.00</w:t>
      </w:r>
      <w:r w:rsidRPr="00A945DC">
        <w:rPr>
          <w:rFonts w:ascii="TyponineSans Reg" w:hAnsi="TyponineSans Reg"/>
          <w:bCs/>
          <w:szCs w:val="22"/>
        </w:rPr>
        <w:t>.000 kn za pokriće tekućih materijalnih troškova</w:t>
      </w:r>
      <w:r w:rsidR="00A945DC">
        <w:rPr>
          <w:rFonts w:ascii="TyponineSans Reg" w:hAnsi="TyponineSans Reg"/>
          <w:bCs/>
          <w:szCs w:val="22"/>
        </w:rPr>
        <w:t xml:space="preserve"> u iznosu od 1.500.000 kn  i troškova plaća zaposlenika u iznosu od </w:t>
      </w:r>
      <w:r w:rsidR="0089458B">
        <w:rPr>
          <w:rFonts w:ascii="TyponineSans Reg" w:hAnsi="TyponineSans Reg"/>
          <w:bCs/>
          <w:szCs w:val="22"/>
        </w:rPr>
        <w:t>6.500.000 kn</w:t>
      </w:r>
      <w:r w:rsidRPr="00A945DC">
        <w:rPr>
          <w:rFonts w:ascii="TyponineSans Reg" w:hAnsi="TyponineSans Reg"/>
          <w:bCs/>
          <w:szCs w:val="22"/>
        </w:rPr>
        <w:t>. U prethodnoj godin</w:t>
      </w:r>
      <w:r w:rsidR="0089458B">
        <w:rPr>
          <w:rFonts w:ascii="TyponineSans Reg" w:hAnsi="TyponineSans Reg"/>
          <w:bCs/>
          <w:szCs w:val="22"/>
        </w:rPr>
        <w:t>i</w:t>
      </w:r>
      <w:r w:rsidRPr="00A945DC">
        <w:rPr>
          <w:rFonts w:ascii="TyponineSans Reg" w:hAnsi="TyponineSans Reg"/>
          <w:bCs/>
          <w:szCs w:val="22"/>
        </w:rPr>
        <w:t xml:space="preserve"> Ustanova je ostvarila prihode po navedenoj osnovi u iznosu od 2.000.000 kn.</w:t>
      </w:r>
    </w:p>
    <w:p w14:paraId="67BC9348" w14:textId="77777777" w:rsidR="00473F5A" w:rsidRPr="00437CA9" w:rsidRDefault="00473F5A" w:rsidP="00347A12">
      <w:pPr>
        <w:jc w:val="both"/>
        <w:rPr>
          <w:rFonts w:ascii="TyponineSans Reg" w:hAnsi="TyponineSans Reg"/>
          <w:b/>
          <w:color w:val="FF0000"/>
          <w:szCs w:val="22"/>
        </w:rPr>
      </w:pPr>
    </w:p>
    <w:p w14:paraId="2229A968" w14:textId="2BA9A6BC" w:rsidR="00347A12" w:rsidRPr="007263D0" w:rsidRDefault="00347A12" w:rsidP="00347A12">
      <w:pPr>
        <w:jc w:val="both"/>
        <w:rPr>
          <w:rFonts w:ascii="TyponineSans Reg" w:hAnsi="TyponineSans Reg"/>
          <w:b/>
          <w:szCs w:val="22"/>
        </w:rPr>
      </w:pPr>
      <w:r w:rsidRPr="007263D0">
        <w:rPr>
          <w:rFonts w:ascii="TyponineSans Reg" w:hAnsi="TyponineSans Reg"/>
          <w:b/>
          <w:szCs w:val="22"/>
        </w:rPr>
        <w:t>AOP 13</w:t>
      </w:r>
      <w:r w:rsidR="00E11D56">
        <w:rPr>
          <w:rFonts w:ascii="TyponineSans Reg" w:hAnsi="TyponineSans Reg"/>
          <w:b/>
          <w:szCs w:val="22"/>
        </w:rPr>
        <w:t>4</w:t>
      </w:r>
    </w:p>
    <w:p w14:paraId="3354B766" w14:textId="77777777" w:rsidR="00347A12" w:rsidRPr="007263D0" w:rsidRDefault="00347A12" w:rsidP="00347A12">
      <w:pPr>
        <w:jc w:val="both"/>
        <w:rPr>
          <w:rFonts w:ascii="TyponineSans Reg" w:hAnsi="TyponineSans Reg"/>
          <w:b/>
          <w:szCs w:val="22"/>
        </w:rPr>
      </w:pPr>
      <w:r w:rsidRPr="007263D0">
        <w:rPr>
          <w:rFonts w:ascii="TyponineSans Reg" w:hAnsi="TyponineSans Reg"/>
          <w:b/>
          <w:szCs w:val="22"/>
        </w:rPr>
        <w:t>Ostali prihodi</w:t>
      </w:r>
    </w:p>
    <w:p w14:paraId="540C9BDF" w14:textId="566BD17D" w:rsidR="00347A12" w:rsidRPr="007263D0" w:rsidRDefault="00347A12" w:rsidP="00347A12">
      <w:pPr>
        <w:jc w:val="both"/>
        <w:rPr>
          <w:rFonts w:ascii="TyponineSans Reg" w:hAnsi="TyponineSans Reg"/>
          <w:bCs/>
          <w:szCs w:val="22"/>
        </w:rPr>
      </w:pPr>
      <w:r w:rsidRPr="007263D0">
        <w:rPr>
          <w:rFonts w:ascii="TyponineSans Reg" w:hAnsi="TyponineSans Reg"/>
          <w:bCs/>
          <w:szCs w:val="22"/>
        </w:rPr>
        <w:t xml:space="preserve">Ostali prihodi ostvareni su u ukupnom iznosu od </w:t>
      </w:r>
      <w:r w:rsidR="007263D0" w:rsidRPr="007263D0">
        <w:rPr>
          <w:rFonts w:ascii="TyponineSans Reg" w:hAnsi="TyponineSans Reg"/>
          <w:bCs/>
          <w:szCs w:val="22"/>
        </w:rPr>
        <w:t>1.1</w:t>
      </w:r>
      <w:r w:rsidR="00580805">
        <w:rPr>
          <w:rFonts w:ascii="TyponineSans Reg" w:hAnsi="TyponineSans Reg"/>
          <w:bCs/>
          <w:szCs w:val="22"/>
        </w:rPr>
        <w:t>68</w:t>
      </w:r>
      <w:r w:rsidR="007263D0" w:rsidRPr="007263D0">
        <w:rPr>
          <w:rFonts w:ascii="TyponineSans Reg" w:hAnsi="TyponineSans Reg"/>
          <w:bCs/>
          <w:szCs w:val="22"/>
        </w:rPr>
        <w:t>.</w:t>
      </w:r>
      <w:r w:rsidR="00580805">
        <w:rPr>
          <w:rFonts w:ascii="TyponineSans Reg" w:hAnsi="TyponineSans Reg"/>
          <w:bCs/>
          <w:szCs w:val="22"/>
        </w:rPr>
        <w:t>762</w:t>
      </w:r>
      <w:r w:rsidRPr="007263D0">
        <w:rPr>
          <w:rFonts w:ascii="TyponineSans Reg" w:hAnsi="TyponineSans Reg"/>
          <w:bCs/>
          <w:szCs w:val="22"/>
        </w:rPr>
        <w:t xml:space="preserve"> kn koja se odnose na naplatu mandatnih kazni u iznosu od </w:t>
      </w:r>
      <w:r w:rsidR="007263D0" w:rsidRPr="007263D0">
        <w:rPr>
          <w:rFonts w:ascii="TyponineSans Reg" w:hAnsi="TyponineSans Reg"/>
          <w:bCs/>
          <w:szCs w:val="22"/>
        </w:rPr>
        <w:t>60.750</w:t>
      </w:r>
      <w:r w:rsidRPr="007263D0">
        <w:rPr>
          <w:rFonts w:ascii="TyponineSans Reg" w:hAnsi="TyponineSans Reg"/>
          <w:bCs/>
          <w:szCs w:val="22"/>
        </w:rPr>
        <w:t>, naplatu</w:t>
      </w:r>
      <w:r w:rsidR="007263D0">
        <w:rPr>
          <w:rFonts w:ascii="TyponineSans Reg" w:hAnsi="TyponineSans Reg"/>
          <w:bCs/>
          <w:szCs w:val="22"/>
        </w:rPr>
        <w:t xml:space="preserve"> penala po projektu Brijunsko novo ruho u iznosu od 730.377 kn</w:t>
      </w:r>
      <w:r w:rsidRPr="007263D0">
        <w:rPr>
          <w:rFonts w:ascii="TyponineSans Reg" w:hAnsi="TyponineSans Reg"/>
          <w:bCs/>
          <w:szCs w:val="22"/>
        </w:rPr>
        <w:t xml:space="preserve"> Prihoda </w:t>
      </w:r>
      <w:r w:rsidR="007263D0">
        <w:rPr>
          <w:rFonts w:ascii="TyponineSans Reg" w:hAnsi="TyponineSans Reg"/>
          <w:bCs/>
          <w:szCs w:val="22"/>
        </w:rPr>
        <w:t>od sponzorstva u iznosu od 270.384</w:t>
      </w:r>
      <w:r w:rsidR="001800F0">
        <w:rPr>
          <w:rFonts w:ascii="TyponineSans Reg" w:hAnsi="TyponineSans Reg"/>
          <w:bCs/>
          <w:szCs w:val="22"/>
        </w:rPr>
        <w:t xml:space="preserve">, prihode po otpisu  elaborata u iznosu od 44.056 kn </w:t>
      </w:r>
      <w:r w:rsidRPr="007263D0">
        <w:rPr>
          <w:rFonts w:ascii="TyponineSans Reg" w:hAnsi="TyponineSans Reg"/>
          <w:bCs/>
          <w:szCs w:val="22"/>
        </w:rPr>
        <w:t xml:space="preserve">te ostalih nespomenutih prihoda  u iznosu od </w:t>
      </w:r>
      <w:r w:rsidR="001800F0">
        <w:rPr>
          <w:rFonts w:ascii="TyponineSans Reg" w:hAnsi="TyponineSans Reg"/>
          <w:bCs/>
          <w:szCs w:val="22"/>
        </w:rPr>
        <w:t>6</w:t>
      </w:r>
      <w:r w:rsidR="00580805">
        <w:rPr>
          <w:rFonts w:ascii="TyponineSans Reg" w:hAnsi="TyponineSans Reg"/>
          <w:bCs/>
          <w:szCs w:val="22"/>
        </w:rPr>
        <w:t>3.195</w:t>
      </w:r>
      <w:r w:rsidRPr="007263D0">
        <w:rPr>
          <w:rFonts w:ascii="TyponineSans Reg" w:hAnsi="TyponineSans Reg"/>
          <w:bCs/>
          <w:szCs w:val="22"/>
        </w:rPr>
        <w:t xml:space="preserve"> kn.</w:t>
      </w:r>
    </w:p>
    <w:p w14:paraId="49BC6BA0" w14:textId="37A43100" w:rsidR="00347A12" w:rsidRPr="00437CA9" w:rsidRDefault="00347A12" w:rsidP="00347A12">
      <w:pPr>
        <w:jc w:val="both"/>
        <w:rPr>
          <w:rFonts w:ascii="TyponineSans Reg" w:hAnsi="TyponineSans Reg"/>
          <w:b/>
          <w:color w:val="FF0000"/>
          <w:szCs w:val="22"/>
        </w:rPr>
      </w:pPr>
      <w:r w:rsidRPr="00437CA9">
        <w:rPr>
          <w:rFonts w:ascii="TyponineSans Reg" w:hAnsi="TyponineSans Reg"/>
          <w:bCs/>
          <w:color w:val="FF0000"/>
          <w:szCs w:val="22"/>
        </w:rPr>
        <w:t xml:space="preserve"> </w:t>
      </w:r>
    </w:p>
    <w:p w14:paraId="48803206" w14:textId="77777777" w:rsidR="00A1592A" w:rsidRDefault="00A1592A" w:rsidP="00347A12">
      <w:pPr>
        <w:jc w:val="both"/>
        <w:rPr>
          <w:rFonts w:ascii="TyponineSans Reg" w:hAnsi="TyponineSans Reg"/>
          <w:b/>
          <w:sz w:val="24"/>
          <w:szCs w:val="24"/>
        </w:rPr>
      </w:pPr>
    </w:p>
    <w:p w14:paraId="5A7963D7" w14:textId="77777777" w:rsidR="00A1592A" w:rsidRDefault="00A1592A" w:rsidP="00347A12">
      <w:pPr>
        <w:jc w:val="both"/>
        <w:rPr>
          <w:rFonts w:ascii="TyponineSans Reg" w:hAnsi="TyponineSans Reg"/>
          <w:b/>
          <w:sz w:val="24"/>
          <w:szCs w:val="24"/>
        </w:rPr>
      </w:pPr>
    </w:p>
    <w:p w14:paraId="2F707E1B" w14:textId="77777777" w:rsidR="00A1592A" w:rsidRDefault="00A1592A" w:rsidP="00347A12">
      <w:pPr>
        <w:jc w:val="both"/>
        <w:rPr>
          <w:rFonts w:ascii="TyponineSans Reg" w:hAnsi="TyponineSans Reg"/>
          <w:b/>
          <w:sz w:val="24"/>
          <w:szCs w:val="24"/>
        </w:rPr>
      </w:pPr>
    </w:p>
    <w:p w14:paraId="5C79C399" w14:textId="7DF808A4" w:rsidR="00347A12" w:rsidRPr="001C6D6C" w:rsidRDefault="00347A12" w:rsidP="00347A12">
      <w:pPr>
        <w:jc w:val="both"/>
        <w:rPr>
          <w:rFonts w:ascii="TyponineSans Reg" w:hAnsi="TyponineSans Reg"/>
          <w:b/>
          <w:sz w:val="24"/>
          <w:szCs w:val="24"/>
        </w:rPr>
      </w:pPr>
      <w:r w:rsidRPr="001C6D6C">
        <w:rPr>
          <w:rFonts w:ascii="TyponineSans Reg" w:hAnsi="TyponineSans Reg"/>
          <w:b/>
          <w:sz w:val="24"/>
          <w:szCs w:val="24"/>
        </w:rPr>
        <w:t>Bilješka br. 2.2.  -  Rashodi poslovanja</w:t>
      </w:r>
    </w:p>
    <w:p w14:paraId="4651B9B2" w14:textId="77777777" w:rsidR="00347A12" w:rsidRPr="001C6D6C" w:rsidRDefault="00347A12" w:rsidP="00347A12">
      <w:pPr>
        <w:jc w:val="both"/>
        <w:rPr>
          <w:rFonts w:ascii="TyponineSans Reg" w:hAnsi="TyponineSans Reg"/>
          <w:b/>
          <w:szCs w:val="22"/>
        </w:rPr>
      </w:pPr>
    </w:p>
    <w:p w14:paraId="484DB7D5" w14:textId="77777777" w:rsidR="00347A12" w:rsidRPr="001C6D6C" w:rsidRDefault="00347A12" w:rsidP="00347A12">
      <w:pPr>
        <w:jc w:val="both"/>
        <w:rPr>
          <w:rFonts w:ascii="TyponineSans Reg" w:hAnsi="TyponineSans Reg"/>
          <w:szCs w:val="22"/>
        </w:rPr>
      </w:pPr>
      <w:r w:rsidRPr="001C6D6C">
        <w:rPr>
          <w:rFonts w:ascii="TyponineSans Reg" w:hAnsi="TyponineSans Reg"/>
          <w:szCs w:val="22"/>
        </w:rPr>
        <w:t>Za razliku od prihoda poslovanja, a sukladno odredbama Pravilnika o proračunskom računovodstvu i Računskom planu, rashodi poslovanja priznati su temeljem nastanka poslovnog događaja i neovisno o plaćanju.</w:t>
      </w:r>
    </w:p>
    <w:p w14:paraId="68923BDF" w14:textId="77777777" w:rsidR="00347A12" w:rsidRPr="001C6D6C" w:rsidRDefault="00347A12" w:rsidP="00347A12">
      <w:pPr>
        <w:jc w:val="both"/>
        <w:rPr>
          <w:rFonts w:ascii="TyponineSans Reg" w:hAnsi="TyponineSans Reg"/>
          <w:b/>
          <w:szCs w:val="22"/>
        </w:rPr>
      </w:pPr>
    </w:p>
    <w:p w14:paraId="4D0FBD84" w14:textId="31B35F1C" w:rsidR="00347A12" w:rsidRPr="001C6D6C" w:rsidRDefault="00347A12" w:rsidP="00347A12">
      <w:pPr>
        <w:jc w:val="both"/>
        <w:rPr>
          <w:rFonts w:ascii="TyponineSans Reg" w:hAnsi="TyponineSans Reg" w:cs="Calibri"/>
          <w:szCs w:val="22"/>
        </w:rPr>
      </w:pPr>
      <w:r w:rsidRPr="001C6D6C">
        <w:rPr>
          <w:rFonts w:ascii="TyponineSans Reg" w:hAnsi="TyponineSans Reg" w:cs="Calibri"/>
          <w:szCs w:val="22"/>
        </w:rPr>
        <w:t>Ustanova je u razdoblju od siječanja do prosinca 2020. godini ostvarila ukupne rashode u iznosu od 58.883.325 kn koje čine rashodi poslovanja u iznosu od 48.279.774 kn te rashodi za nabavu nefinancijske imovine u iznosu od 10.603.551 kn. Ostvareni ukupni rashodi veći su u odnosu na ostvarenje  20</w:t>
      </w:r>
      <w:r w:rsidR="00CA7C91">
        <w:rPr>
          <w:rFonts w:ascii="TyponineSans Reg" w:hAnsi="TyponineSans Reg" w:cs="Calibri"/>
          <w:szCs w:val="22"/>
        </w:rPr>
        <w:t>20</w:t>
      </w:r>
      <w:r w:rsidRPr="001C6D6C">
        <w:rPr>
          <w:rFonts w:ascii="TyponineSans Reg" w:hAnsi="TyponineSans Reg" w:cs="Calibri"/>
          <w:szCs w:val="22"/>
        </w:rPr>
        <w:t>. godine za 2,09% odnosno za 1.206.101 kn, dok su za 15,08%  manji u odnosu na plan 202</w:t>
      </w:r>
      <w:r w:rsidR="00CA7C91">
        <w:rPr>
          <w:rFonts w:ascii="TyponineSans Reg" w:hAnsi="TyponineSans Reg" w:cs="Calibri"/>
          <w:szCs w:val="22"/>
        </w:rPr>
        <w:t>1</w:t>
      </w:r>
      <w:r w:rsidRPr="001C6D6C">
        <w:rPr>
          <w:rFonts w:ascii="TyponineSans Reg" w:hAnsi="TyponineSans Reg" w:cs="Calibri"/>
          <w:szCs w:val="22"/>
        </w:rPr>
        <w:t>. godine.  Do povećanja ukupnih rashoda u odnosu na ostvarenje 20</w:t>
      </w:r>
      <w:r w:rsidR="00CA7C91">
        <w:rPr>
          <w:rFonts w:ascii="TyponineSans Reg" w:hAnsi="TyponineSans Reg" w:cs="Calibri"/>
          <w:szCs w:val="22"/>
        </w:rPr>
        <w:t>20</w:t>
      </w:r>
      <w:r w:rsidRPr="001C6D6C">
        <w:rPr>
          <w:rFonts w:ascii="TyponineSans Reg" w:hAnsi="TyponineSans Reg" w:cs="Calibri"/>
          <w:szCs w:val="22"/>
        </w:rPr>
        <w:t>. godine došlo je iz razloga provedbe projekta Brijunsko novo ruho.  Rashodi poslovanja manji su u odnosu na ostvarenje 20</w:t>
      </w:r>
      <w:r w:rsidR="00CA7C91">
        <w:rPr>
          <w:rFonts w:ascii="TyponineSans Reg" w:hAnsi="TyponineSans Reg" w:cs="Calibri"/>
          <w:szCs w:val="22"/>
        </w:rPr>
        <w:t>20</w:t>
      </w:r>
      <w:r w:rsidRPr="001C6D6C">
        <w:rPr>
          <w:rFonts w:ascii="TyponineSans Reg" w:hAnsi="TyponineSans Reg" w:cs="Calibri"/>
          <w:szCs w:val="22"/>
        </w:rPr>
        <w:t>. godine za 10,23% I 3,19% u odnosu na plan. Rashodi za nabavu nefinancijske imovine veći su u odnosu na ostvarene 20</w:t>
      </w:r>
      <w:r w:rsidR="00CA7C91">
        <w:rPr>
          <w:rFonts w:ascii="TyponineSans Reg" w:hAnsi="TyponineSans Reg" w:cs="Calibri"/>
          <w:szCs w:val="22"/>
        </w:rPr>
        <w:t>20</w:t>
      </w:r>
      <w:r w:rsidRPr="001C6D6C">
        <w:rPr>
          <w:rFonts w:ascii="TyponineSans Reg" w:hAnsi="TyponineSans Reg" w:cs="Calibri"/>
          <w:szCs w:val="22"/>
        </w:rPr>
        <w:t xml:space="preserve">. godine za 172,21% dok su za 45,54 manji od plana. Razlog povećanja rashoda za nefinanciju imovinu je ulaganje u gradnju broda i ulaganja u građevinske objekte. </w:t>
      </w:r>
    </w:p>
    <w:p w14:paraId="6FE6532E" w14:textId="77777777" w:rsidR="00347A12" w:rsidRPr="001C6D6C" w:rsidRDefault="00347A12" w:rsidP="00347A12">
      <w:pPr>
        <w:jc w:val="both"/>
        <w:rPr>
          <w:rFonts w:ascii="TyponineSans Reg" w:hAnsi="TyponineSans Reg" w:cs="Calibri"/>
          <w:szCs w:val="22"/>
        </w:rPr>
      </w:pPr>
    </w:p>
    <w:p w14:paraId="3A20792A" w14:textId="09A29579" w:rsidR="00347A12" w:rsidRPr="00437CA9" w:rsidRDefault="00347A12" w:rsidP="00347A12">
      <w:pPr>
        <w:jc w:val="both"/>
        <w:rPr>
          <w:rFonts w:ascii="TyponineSans Reg" w:hAnsi="TyponineSans Reg"/>
          <w:color w:val="FF0000"/>
          <w:szCs w:val="22"/>
        </w:rPr>
      </w:pPr>
      <w:r w:rsidRPr="001C6D6C">
        <w:rPr>
          <w:rFonts w:ascii="TyponineSans Reg" w:hAnsi="TyponineSans Reg" w:cs="Calibri"/>
          <w:szCs w:val="22"/>
        </w:rPr>
        <w:t>Ostvareni rashodi poslovanja slijedeće  su strukture:</w:t>
      </w:r>
    </w:p>
    <w:tbl>
      <w:tblPr>
        <w:tblW w:w="9046" w:type="dxa"/>
        <w:tblLook w:val="04A0" w:firstRow="1" w:lastRow="0" w:firstColumn="1" w:lastColumn="0" w:noHBand="0" w:noVBand="1"/>
      </w:tblPr>
      <w:tblGrid>
        <w:gridCol w:w="700"/>
        <w:gridCol w:w="3406"/>
        <w:gridCol w:w="1800"/>
        <w:gridCol w:w="1840"/>
        <w:gridCol w:w="1300"/>
      </w:tblGrid>
      <w:tr w:rsidR="00B30FDD" w:rsidRPr="00B30FDD" w14:paraId="3ED4571A" w14:textId="77777777" w:rsidTr="00B30FDD">
        <w:trPr>
          <w:trHeight w:val="300"/>
        </w:trPr>
        <w:tc>
          <w:tcPr>
            <w:tcW w:w="700" w:type="dxa"/>
            <w:tcBorders>
              <w:top w:val="single" w:sz="8" w:space="0" w:color="auto"/>
              <w:left w:val="single" w:sz="8" w:space="0" w:color="auto"/>
              <w:bottom w:val="nil"/>
              <w:right w:val="single" w:sz="4" w:space="0" w:color="auto"/>
            </w:tcBorders>
            <w:shd w:val="clear" w:color="000000" w:fill="E3FFFF"/>
            <w:noWrap/>
            <w:vAlign w:val="center"/>
            <w:hideMark/>
          </w:tcPr>
          <w:p w14:paraId="0EFAE9ED" w14:textId="77777777" w:rsidR="00B30FDD" w:rsidRPr="00B30FDD" w:rsidRDefault="00B30FDD" w:rsidP="00B30FDD">
            <w:pPr>
              <w:jc w:val="center"/>
              <w:rPr>
                <w:rFonts w:ascii="Arial" w:hAnsi="Arial" w:cs="Arial"/>
                <w:b/>
                <w:bCs/>
                <w:noProof w:val="0"/>
                <w:szCs w:val="22"/>
                <w:lang w:val="en-GB" w:eastAsia="en-GB"/>
              </w:rPr>
            </w:pPr>
            <w:r w:rsidRPr="00B30FDD">
              <w:rPr>
                <w:rFonts w:ascii="Arial" w:hAnsi="Arial" w:cs="Arial"/>
                <w:b/>
                <w:bCs/>
                <w:noProof w:val="0"/>
                <w:szCs w:val="22"/>
                <w:lang w:val="en-GB" w:eastAsia="en-GB"/>
              </w:rPr>
              <w:t>AOP</w:t>
            </w:r>
          </w:p>
        </w:tc>
        <w:tc>
          <w:tcPr>
            <w:tcW w:w="3406" w:type="dxa"/>
            <w:tcBorders>
              <w:top w:val="single" w:sz="8" w:space="0" w:color="auto"/>
              <w:left w:val="nil"/>
              <w:bottom w:val="nil"/>
              <w:right w:val="single" w:sz="4" w:space="0" w:color="auto"/>
            </w:tcBorders>
            <w:shd w:val="clear" w:color="000000" w:fill="E3FFFF"/>
            <w:noWrap/>
            <w:vAlign w:val="center"/>
            <w:hideMark/>
          </w:tcPr>
          <w:p w14:paraId="4AECDF7F" w14:textId="77777777" w:rsidR="00B30FDD" w:rsidRPr="00B30FDD" w:rsidRDefault="00B30FDD" w:rsidP="00B30FDD">
            <w:pPr>
              <w:jc w:val="center"/>
              <w:rPr>
                <w:rFonts w:ascii="Arial" w:hAnsi="Arial" w:cs="Arial"/>
                <w:b/>
                <w:bCs/>
                <w:noProof w:val="0"/>
                <w:szCs w:val="22"/>
                <w:lang w:val="en-GB" w:eastAsia="en-GB"/>
              </w:rPr>
            </w:pPr>
            <w:proofErr w:type="spellStart"/>
            <w:r w:rsidRPr="00B30FDD">
              <w:rPr>
                <w:rFonts w:ascii="Arial" w:hAnsi="Arial" w:cs="Arial"/>
                <w:b/>
                <w:bCs/>
                <w:noProof w:val="0"/>
                <w:szCs w:val="22"/>
                <w:lang w:val="en-GB" w:eastAsia="en-GB"/>
              </w:rPr>
              <w:t>Naziv</w:t>
            </w:r>
            <w:proofErr w:type="spellEnd"/>
            <w:r w:rsidRPr="00B30FDD">
              <w:rPr>
                <w:rFonts w:ascii="Arial" w:hAnsi="Arial" w:cs="Arial"/>
                <w:b/>
                <w:bCs/>
                <w:noProof w:val="0"/>
                <w:szCs w:val="22"/>
                <w:lang w:val="en-GB" w:eastAsia="en-GB"/>
              </w:rPr>
              <w:t xml:space="preserve"> </w:t>
            </w:r>
            <w:proofErr w:type="spellStart"/>
            <w:r w:rsidRPr="00B30FDD">
              <w:rPr>
                <w:rFonts w:ascii="Arial" w:hAnsi="Arial" w:cs="Arial"/>
                <w:b/>
                <w:bCs/>
                <w:noProof w:val="0"/>
                <w:szCs w:val="22"/>
                <w:lang w:val="en-GB" w:eastAsia="en-GB"/>
              </w:rPr>
              <w:t>stavke</w:t>
            </w:r>
            <w:proofErr w:type="spellEnd"/>
          </w:p>
        </w:tc>
        <w:tc>
          <w:tcPr>
            <w:tcW w:w="1800" w:type="dxa"/>
            <w:vMerge w:val="restart"/>
            <w:tcBorders>
              <w:top w:val="single" w:sz="8" w:space="0" w:color="auto"/>
              <w:left w:val="single" w:sz="4" w:space="0" w:color="auto"/>
              <w:bottom w:val="double" w:sz="6" w:space="0" w:color="000000"/>
              <w:right w:val="single" w:sz="4" w:space="0" w:color="auto"/>
            </w:tcBorders>
            <w:shd w:val="clear" w:color="000000" w:fill="E3FFFF"/>
            <w:noWrap/>
            <w:vAlign w:val="center"/>
            <w:hideMark/>
          </w:tcPr>
          <w:p w14:paraId="7C46E007" w14:textId="77777777" w:rsidR="00B30FDD" w:rsidRPr="00B30FDD" w:rsidRDefault="00B30FDD" w:rsidP="00B30FDD">
            <w:pPr>
              <w:jc w:val="center"/>
              <w:rPr>
                <w:rFonts w:ascii="Arial" w:hAnsi="Arial" w:cs="Arial"/>
                <w:b/>
                <w:bCs/>
                <w:noProof w:val="0"/>
                <w:szCs w:val="22"/>
                <w:lang w:val="en-GB" w:eastAsia="en-GB"/>
              </w:rPr>
            </w:pPr>
            <w:proofErr w:type="spellStart"/>
            <w:r w:rsidRPr="00B30FDD">
              <w:rPr>
                <w:rFonts w:ascii="Arial" w:hAnsi="Arial" w:cs="Arial"/>
                <w:b/>
                <w:bCs/>
                <w:noProof w:val="0"/>
                <w:szCs w:val="22"/>
                <w:lang w:val="en-GB" w:eastAsia="en-GB"/>
              </w:rPr>
              <w:t>Iznos</w:t>
            </w:r>
            <w:proofErr w:type="spellEnd"/>
            <w:r w:rsidRPr="00B30FDD">
              <w:rPr>
                <w:rFonts w:ascii="Arial" w:hAnsi="Arial" w:cs="Arial"/>
                <w:b/>
                <w:bCs/>
                <w:noProof w:val="0"/>
                <w:szCs w:val="22"/>
                <w:lang w:val="en-GB" w:eastAsia="en-GB"/>
              </w:rPr>
              <w:t xml:space="preserve"> 2020.g </w:t>
            </w:r>
          </w:p>
        </w:tc>
        <w:tc>
          <w:tcPr>
            <w:tcW w:w="1840" w:type="dxa"/>
            <w:vMerge w:val="restart"/>
            <w:tcBorders>
              <w:top w:val="single" w:sz="8" w:space="0" w:color="auto"/>
              <w:left w:val="single" w:sz="4" w:space="0" w:color="auto"/>
              <w:bottom w:val="double" w:sz="6" w:space="0" w:color="000000"/>
              <w:right w:val="single" w:sz="4" w:space="0" w:color="auto"/>
            </w:tcBorders>
            <w:shd w:val="clear" w:color="000000" w:fill="E3FFFF"/>
            <w:noWrap/>
            <w:vAlign w:val="center"/>
            <w:hideMark/>
          </w:tcPr>
          <w:p w14:paraId="460D6507" w14:textId="77777777" w:rsidR="00B30FDD" w:rsidRPr="00B30FDD" w:rsidRDefault="00B30FDD" w:rsidP="00B30FDD">
            <w:pPr>
              <w:jc w:val="center"/>
              <w:rPr>
                <w:rFonts w:ascii="Arial" w:hAnsi="Arial" w:cs="Arial"/>
                <w:b/>
                <w:bCs/>
                <w:noProof w:val="0"/>
                <w:szCs w:val="22"/>
                <w:lang w:val="en-GB" w:eastAsia="en-GB"/>
              </w:rPr>
            </w:pPr>
            <w:proofErr w:type="spellStart"/>
            <w:r w:rsidRPr="00B30FDD">
              <w:rPr>
                <w:rFonts w:ascii="Arial" w:hAnsi="Arial" w:cs="Arial"/>
                <w:b/>
                <w:bCs/>
                <w:noProof w:val="0"/>
                <w:szCs w:val="22"/>
                <w:lang w:val="en-GB" w:eastAsia="en-GB"/>
              </w:rPr>
              <w:t>Iznos</w:t>
            </w:r>
            <w:proofErr w:type="spellEnd"/>
            <w:r w:rsidRPr="00B30FDD">
              <w:rPr>
                <w:rFonts w:ascii="Arial" w:hAnsi="Arial" w:cs="Arial"/>
                <w:b/>
                <w:bCs/>
                <w:noProof w:val="0"/>
                <w:szCs w:val="22"/>
                <w:lang w:val="en-GB" w:eastAsia="en-GB"/>
              </w:rPr>
              <w:t xml:space="preserve"> 2021.g </w:t>
            </w:r>
          </w:p>
        </w:tc>
        <w:tc>
          <w:tcPr>
            <w:tcW w:w="1300" w:type="dxa"/>
            <w:tcBorders>
              <w:top w:val="single" w:sz="8" w:space="0" w:color="auto"/>
              <w:left w:val="nil"/>
              <w:bottom w:val="nil"/>
              <w:right w:val="single" w:sz="8" w:space="0" w:color="auto"/>
            </w:tcBorders>
            <w:shd w:val="clear" w:color="000000" w:fill="E3FFFF"/>
            <w:noWrap/>
            <w:vAlign w:val="bottom"/>
            <w:hideMark/>
          </w:tcPr>
          <w:p w14:paraId="0AE99A62" w14:textId="77777777" w:rsidR="00B30FDD" w:rsidRPr="00B30FDD" w:rsidRDefault="00B30FDD" w:rsidP="00B30FDD">
            <w:pPr>
              <w:jc w:val="center"/>
              <w:rPr>
                <w:rFonts w:ascii="Arial" w:hAnsi="Arial" w:cs="Arial"/>
                <w:b/>
                <w:bCs/>
                <w:noProof w:val="0"/>
                <w:szCs w:val="22"/>
                <w:lang w:val="en-GB" w:eastAsia="en-GB"/>
              </w:rPr>
            </w:pPr>
            <w:r w:rsidRPr="00B30FDD">
              <w:rPr>
                <w:rFonts w:ascii="Arial" w:hAnsi="Arial" w:cs="Arial"/>
                <w:b/>
                <w:bCs/>
                <w:noProof w:val="0"/>
                <w:szCs w:val="22"/>
                <w:lang w:val="en-GB" w:eastAsia="en-GB"/>
              </w:rPr>
              <w:t>Index</w:t>
            </w:r>
          </w:p>
        </w:tc>
      </w:tr>
      <w:tr w:rsidR="00B30FDD" w:rsidRPr="00B30FDD" w14:paraId="608A4542" w14:textId="77777777" w:rsidTr="00B30FDD">
        <w:trPr>
          <w:trHeight w:val="240"/>
        </w:trPr>
        <w:tc>
          <w:tcPr>
            <w:tcW w:w="700" w:type="dxa"/>
            <w:tcBorders>
              <w:top w:val="nil"/>
              <w:left w:val="single" w:sz="8" w:space="0" w:color="auto"/>
              <w:bottom w:val="double" w:sz="6" w:space="0" w:color="auto"/>
              <w:right w:val="single" w:sz="4" w:space="0" w:color="auto"/>
            </w:tcBorders>
            <w:shd w:val="clear" w:color="000000" w:fill="E3FFFF"/>
            <w:noWrap/>
            <w:vAlign w:val="center"/>
            <w:hideMark/>
          </w:tcPr>
          <w:p w14:paraId="731E4E71" w14:textId="77777777" w:rsidR="00B30FDD" w:rsidRPr="00B30FDD" w:rsidRDefault="00B30FDD" w:rsidP="00B30FDD">
            <w:pPr>
              <w:jc w:val="center"/>
              <w:rPr>
                <w:rFonts w:ascii="Arial" w:hAnsi="Arial" w:cs="Arial"/>
                <w:b/>
                <w:bCs/>
                <w:noProof w:val="0"/>
                <w:szCs w:val="22"/>
                <w:lang w:val="en-GB" w:eastAsia="en-GB"/>
              </w:rPr>
            </w:pPr>
            <w:r w:rsidRPr="00B30FDD">
              <w:rPr>
                <w:rFonts w:ascii="Arial" w:hAnsi="Arial" w:cs="Arial"/>
                <w:b/>
                <w:bCs/>
                <w:noProof w:val="0"/>
                <w:szCs w:val="22"/>
                <w:lang w:val="en-GB" w:eastAsia="en-GB"/>
              </w:rPr>
              <w:t> </w:t>
            </w:r>
          </w:p>
        </w:tc>
        <w:tc>
          <w:tcPr>
            <w:tcW w:w="3406" w:type="dxa"/>
            <w:tcBorders>
              <w:top w:val="nil"/>
              <w:left w:val="nil"/>
              <w:bottom w:val="double" w:sz="6" w:space="0" w:color="auto"/>
              <w:right w:val="single" w:sz="4" w:space="0" w:color="auto"/>
            </w:tcBorders>
            <w:shd w:val="clear" w:color="000000" w:fill="E3FFFF"/>
            <w:noWrap/>
            <w:vAlign w:val="center"/>
            <w:hideMark/>
          </w:tcPr>
          <w:p w14:paraId="6CB4489F" w14:textId="77777777" w:rsidR="00B30FDD" w:rsidRPr="00B30FDD" w:rsidRDefault="00B30FDD" w:rsidP="00B30FDD">
            <w:pPr>
              <w:jc w:val="center"/>
              <w:rPr>
                <w:rFonts w:ascii="Arial" w:hAnsi="Arial" w:cs="Arial"/>
                <w:b/>
                <w:bCs/>
                <w:noProof w:val="0"/>
                <w:szCs w:val="22"/>
                <w:lang w:val="en-GB" w:eastAsia="en-GB"/>
              </w:rPr>
            </w:pPr>
            <w:r w:rsidRPr="00B30FDD">
              <w:rPr>
                <w:rFonts w:ascii="Arial" w:hAnsi="Arial" w:cs="Arial"/>
                <w:b/>
                <w:bCs/>
                <w:noProof w:val="0"/>
                <w:szCs w:val="22"/>
                <w:lang w:val="en-GB" w:eastAsia="en-GB"/>
              </w:rPr>
              <w:t> </w:t>
            </w:r>
          </w:p>
        </w:tc>
        <w:tc>
          <w:tcPr>
            <w:tcW w:w="1800" w:type="dxa"/>
            <w:vMerge/>
            <w:tcBorders>
              <w:top w:val="single" w:sz="8" w:space="0" w:color="auto"/>
              <w:left w:val="single" w:sz="4" w:space="0" w:color="auto"/>
              <w:bottom w:val="double" w:sz="6" w:space="0" w:color="000000"/>
              <w:right w:val="single" w:sz="4" w:space="0" w:color="auto"/>
            </w:tcBorders>
            <w:vAlign w:val="center"/>
            <w:hideMark/>
          </w:tcPr>
          <w:p w14:paraId="5B52FA77" w14:textId="77777777" w:rsidR="00B30FDD" w:rsidRPr="00B30FDD" w:rsidRDefault="00B30FDD" w:rsidP="00B30FDD">
            <w:pPr>
              <w:rPr>
                <w:rFonts w:ascii="Arial" w:hAnsi="Arial" w:cs="Arial"/>
                <w:b/>
                <w:bCs/>
                <w:noProof w:val="0"/>
                <w:szCs w:val="22"/>
                <w:lang w:val="en-GB" w:eastAsia="en-GB"/>
              </w:rPr>
            </w:pPr>
          </w:p>
        </w:tc>
        <w:tc>
          <w:tcPr>
            <w:tcW w:w="1840" w:type="dxa"/>
            <w:vMerge/>
            <w:tcBorders>
              <w:top w:val="single" w:sz="8" w:space="0" w:color="auto"/>
              <w:left w:val="single" w:sz="4" w:space="0" w:color="auto"/>
              <w:bottom w:val="double" w:sz="6" w:space="0" w:color="000000"/>
              <w:right w:val="single" w:sz="4" w:space="0" w:color="auto"/>
            </w:tcBorders>
            <w:vAlign w:val="center"/>
            <w:hideMark/>
          </w:tcPr>
          <w:p w14:paraId="195F8711" w14:textId="77777777" w:rsidR="00B30FDD" w:rsidRPr="00B30FDD" w:rsidRDefault="00B30FDD" w:rsidP="00B30FDD">
            <w:pPr>
              <w:rPr>
                <w:rFonts w:ascii="Arial" w:hAnsi="Arial" w:cs="Arial"/>
                <w:b/>
                <w:bCs/>
                <w:noProof w:val="0"/>
                <w:szCs w:val="22"/>
                <w:lang w:val="en-GB" w:eastAsia="en-GB"/>
              </w:rPr>
            </w:pPr>
          </w:p>
        </w:tc>
        <w:tc>
          <w:tcPr>
            <w:tcW w:w="1300" w:type="dxa"/>
            <w:tcBorders>
              <w:top w:val="nil"/>
              <w:left w:val="nil"/>
              <w:bottom w:val="double" w:sz="6" w:space="0" w:color="auto"/>
              <w:right w:val="single" w:sz="8" w:space="0" w:color="auto"/>
            </w:tcBorders>
            <w:shd w:val="clear" w:color="000000" w:fill="E3FFFF"/>
            <w:noWrap/>
            <w:vAlign w:val="bottom"/>
            <w:hideMark/>
          </w:tcPr>
          <w:p w14:paraId="00CD56DE" w14:textId="77777777" w:rsidR="00B30FDD" w:rsidRPr="00B30FDD" w:rsidRDefault="00B30FDD" w:rsidP="00B30FDD">
            <w:pPr>
              <w:jc w:val="center"/>
              <w:rPr>
                <w:rFonts w:ascii="Arial" w:hAnsi="Arial" w:cs="Arial"/>
                <w:b/>
                <w:bCs/>
                <w:noProof w:val="0"/>
                <w:szCs w:val="22"/>
                <w:lang w:val="en-GB" w:eastAsia="en-GB"/>
              </w:rPr>
            </w:pPr>
            <w:r w:rsidRPr="00B30FDD">
              <w:rPr>
                <w:rFonts w:ascii="Arial" w:hAnsi="Arial" w:cs="Arial"/>
                <w:b/>
                <w:bCs/>
                <w:noProof w:val="0"/>
                <w:szCs w:val="22"/>
                <w:lang w:val="en-GB" w:eastAsia="en-GB"/>
              </w:rPr>
              <w:t> </w:t>
            </w:r>
          </w:p>
        </w:tc>
      </w:tr>
      <w:tr w:rsidR="00B30FDD" w:rsidRPr="00B30FDD" w14:paraId="187267C5" w14:textId="77777777" w:rsidTr="00B30FDD">
        <w:trPr>
          <w:trHeight w:val="255"/>
        </w:trPr>
        <w:tc>
          <w:tcPr>
            <w:tcW w:w="700" w:type="dxa"/>
            <w:tcBorders>
              <w:top w:val="nil"/>
              <w:left w:val="single" w:sz="8" w:space="0" w:color="auto"/>
              <w:bottom w:val="double" w:sz="6" w:space="0" w:color="auto"/>
              <w:right w:val="nil"/>
            </w:tcBorders>
            <w:shd w:val="clear" w:color="000000" w:fill="E3FFFF"/>
            <w:noWrap/>
            <w:vAlign w:val="center"/>
            <w:hideMark/>
          </w:tcPr>
          <w:p w14:paraId="338FE12D" w14:textId="77777777" w:rsidR="00B30FDD" w:rsidRPr="00B30FDD" w:rsidRDefault="00B30FDD" w:rsidP="00B30FDD">
            <w:pPr>
              <w:jc w:val="center"/>
              <w:rPr>
                <w:rFonts w:ascii="Arial" w:hAnsi="Arial" w:cs="Arial"/>
                <w:noProof w:val="0"/>
                <w:szCs w:val="22"/>
                <w:lang w:val="en-GB" w:eastAsia="en-GB"/>
              </w:rPr>
            </w:pPr>
            <w:r w:rsidRPr="00B30FDD">
              <w:rPr>
                <w:rFonts w:ascii="Arial" w:hAnsi="Arial" w:cs="Arial"/>
                <w:noProof w:val="0"/>
                <w:szCs w:val="22"/>
                <w:lang w:val="en-GB" w:eastAsia="en-GB"/>
              </w:rPr>
              <w:t>1.</w:t>
            </w:r>
          </w:p>
        </w:tc>
        <w:tc>
          <w:tcPr>
            <w:tcW w:w="3406" w:type="dxa"/>
            <w:tcBorders>
              <w:top w:val="nil"/>
              <w:left w:val="single" w:sz="4" w:space="0" w:color="auto"/>
              <w:bottom w:val="double" w:sz="6" w:space="0" w:color="auto"/>
              <w:right w:val="single" w:sz="4" w:space="0" w:color="auto"/>
            </w:tcBorders>
            <w:shd w:val="clear" w:color="000000" w:fill="E3FFFF"/>
            <w:noWrap/>
            <w:vAlign w:val="center"/>
            <w:hideMark/>
          </w:tcPr>
          <w:p w14:paraId="31BE4561" w14:textId="77777777" w:rsidR="00B30FDD" w:rsidRPr="00B30FDD" w:rsidRDefault="00B30FDD" w:rsidP="00B30FDD">
            <w:pPr>
              <w:jc w:val="center"/>
              <w:rPr>
                <w:rFonts w:ascii="Arial" w:hAnsi="Arial" w:cs="Arial"/>
                <w:noProof w:val="0"/>
                <w:szCs w:val="22"/>
                <w:lang w:val="en-GB" w:eastAsia="en-GB"/>
              </w:rPr>
            </w:pPr>
            <w:r w:rsidRPr="00B30FDD">
              <w:rPr>
                <w:rFonts w:ascii="Arial" w:hAnsi="Arial" w:cs="Arial"/>
                <w:noProof w:val="0"/>
                <w:szCs w:val="22"/>
                <w:lang w:val="en-GB" w:eastAsia="en-GB"/>
              </w:rPr>
              <w:t>2.</w:t>
            </w:r>
          </w:p>
        </w:tc>
        <w:tc>
          <w:tcPr>
            <w:tcW w:w="1800" w:type="dxa"/>
            <w:tcBorders>
              <w:top w:val="nil"/>
              <w:left w:val="nil"/>
              <w:bottom w:val="double" w:sz="6" w:space="0" w:color="auto"/>
              <w:right w:val="single" w:sz="4" w:space="0" w:color="auto"/>
            </w:tcBorders>
            <w:shd w:val="clear" w:color="000000" w:fill="E3FFFF"/>
            <w:noWrap/>
            <w:vAlign w:val="center"/>
            <w:hideMark/>
          </w:tcPr>
          <w:p w14:paraId="6B785F65" w14:textId="77777777" w:rsidR="00B30FDD" w:rsidRPr="00B30FDD" w:rsidRDefault="00B30FDD" w:rsidP="00B30FDD">
            <w:pPr>
              <w:jc w:val="center"/>
              <w:rPr>
                <w:rFonts w:ascii="Arial" w:hAnsi="Arial" w:cs="Arial"/>
                <w:noProof w:val="0"/>
                <w:szCs w:val="22"/>
                <w:lang w:val="en-GB" w:eastAsia="en-GB"/>
              </w:rPr>
            </w:pPr>
            <w:r w:rsidRPr="00B30FDD">
              <w:rPr>
                <w:rFonts w:ascii="Arial" w:hAnsi="Arial" w:cs="Arial"/>
                <w:noProof w:val="0"/>
                <w:szCs w:val="22"/>
                <w:lang w:val="en-GB" w:eastAsia="en-GB"/>
              </w:rPr>
              <w:t xml:space="preserve">4. </w:t>
            </w:r>
          </w:p>
        </w:tc>
        <w:tc>
          <w:tcPr>
            <w:tcW w:w="1840" w:type="dxa"/>
            <w:tcBorders>
              <w:top w:val="nil"/>
              <w:left w:val="nil"/>
              <w:bottom w:val="double" w:sz="6" w:space="0" w:color="auto"/>
              <w:right w:val="single" w:sz="4" w:space="0" w:color="auto"/>
            </w:tcBorders>
            <w:shd w:val="clear" w:color="000000" w:fill="E3FFFF"/>
            <w:noWrap/>
            <w:vAlign w:val="center"/>
            <w:hideMark/>
          </w:tcPr>
          <w:p w14:paraId="03F098A3" w14:textId="77777777" w:rsidR="00B30FDD" w:rsidRPr="00B30FDD" w:rsidRDefault="00B30FDD" w:rsidP="00B30FDD">
            <w:pPr>
              <w:jc w:val="center"/>
              <w:rPr>
                <w:rFonts w:ascii="Arial" w:hAnsi="Arial" w:cs="Arial"/>
                <w:noProof w:val="0"/>
                <w:szCs w:val="22"/>
                <w:lang w:val="en-GB" w:eastAsia="en-GB"/>
              </w:rPr>
            </w:pPr>
            <w:r w:rsidRPr="00B30FDD">
              <w:rPr>
                <w:rFonts w:ascii="Arial" w:hAnsi="Arial" w:cs="Arial"/>
                <w:noProof w:val="0"/>
                <w:szCs w:val="22"/>
                <w:lang w:val="en-GB" w:eastAsia="en-GB"/>
              </w:rPr>
              <w:t xml:space="preserve">4. </w:t>
            </w:r>
          </w:p>
        </w:tc>
        <w:tc>
          <w:tcPr>
            <w:tcW w:w="1300" w:type="dxa"/>
            <w:tcBorders>
              <w:top w:val="nil"/>
              <w:left w:val="nil"/>
              <w:bottom w:val="double" w:sz="6" w:space="0" w:color="auto"/>
              <w:right w:val="single" w:sz="8" w:space="0" w:color="auto"/>
            </w:tcBorders>
            <w:shd w:val="clear" w:color="000000" w:fill="E3FFFF"/>
            <w:noWrap/>
            <w:vAlign w:val="center"/>
            <w:hideMark/>
          </w:tcPr>
          <w:p w14:paraId="401C4AE7" w14:textId="77777777" w:rsidR="00B30FDD" w:rsidRPr="00B30FDD" w:rsidRDefault="00B30FDD" w:rsidP="00B30FDD">
            <w:pPr>
              <w:jc w:val="center"/>
              <w:rPr>
                <w:rFonts w:ascii="Arial" w:hAnsi="Arial" w:cs="Arial"/>
                <w:noProof w:val="0"/>
                <w:szCs w:val="22"/>
                <w:lang w:val="en-GB" w:eastAsia="en-GB"/>
              </w:rPr>
            </w:pPr>
            <w:r w:rsidRPr="00B30FDD">
              <w:rPr>
                <w:rFonts w:ascii="Arial" w:hAnsi="Arial" w:cs="Arial"/>
                <w:noProof w:val="0"/>
                <w:szCs w:val="22"/>
                <w:lang w:val="en-GB" w:eastAsia="en-GB"/>
              </w:rPr>
              <w:t>5.</w:t>
            </w:r>
          </w:p>
        </w:tc>
      </w:tr>
      <w:tr w:rsidR="00B30FDD" w:rsidRPr="00B30FDD" w14:paraId="19DDC914" w14:textId="77777777" w:rsidTr="00B30FDD">
        <w:trPr>
          <w:trHeight w:val="225"/>
        </w:trPr>
        <w:tc>
          <w:tcPr>
            <w:tcW w:w="700" w:type="dxa"/>
            <w:tcBorders>
              <w:top w:val="nil"/>
              <w:left w:val="single" w:sz="8" w:space="0" w:color="auto"/>
              <w:bottom w:val="nil"/>
              <w:right w:val="nil"/>
            </w:tcBorders>
            <w:shd w:val="clear" w:color="000000" w:fill="E3FFFF"/>
            <w:noWrap/>
            <w:vAlign w:val="bottom"/>
            <w:hideMark/>
          </w:tcPr>
          <w:p w14:paraId="7803C0F6" w14:textId="77777777" w:rsidR="00B30FDD" w:rsidRPr="00B30FDD" w:rsidRDefault="00B30FDD" w:rsidP="00B30FDD">
            <w:pPr>
              <w:jc w:val="center"/>
              <w:rPr>
                <w:rFonts w:ascii="Arial" w:hAnsi="Arial" w:cs="Arial"/>
                <w:noProof w:val="0"/>
                <w:szCs w:val="22"/>
                <w:lang w:val="en-GB" w:eastAsia="en-GB"/>
              </w:rPr>
            </w:pPr>
            <w:r w:rsidRPr="00B30FDD">
              <w:rPr>
                <w:rFonts w:ascii="Arial" w:hAnsi="Arial" w:cs="Arial"/>
                <w:noProof w:val="0"/>
                <w:szCs w:val="22"/>
                <w:lang w:val="en-GB" w:eastAsia="en-GB"/>
              </w:rPr>
              <w:t> </w:t>
            </w:r>
          </w:p>
        </w:tc>
        <w:tc>
          <w:tcPr>
            <w:tcW w:w="3406" w:type="dxa"/>
            <w:tcBorders>
              <w:top w:val="nil"/>
              <w:left w:val="single" w:sz="4" w:space="0" w:color="auto"/>
              <w:bottom w:val="nil"/>
              <w:right w:val="single" w:sz="4" w:space="0" w:color="auto"/>
            </w:tcBorders>
            <w:shd w:val="clear" w:color="000000" w:fill="E3FFFF"/>
            <w:noWrap/>
            <w:vAlign w:val="bottom"/>
            <w:hideMark/>
          </w:tcPr>
          <w:p w14:paraId="430E99C0" w14:textId="77777777" w:rsidR="00B30FDD" w:rsidRPr="00B30FDD" w:rsidRDefault="00B30FDD" w:rsidP="00B30FDD">
            <w:pPr>
              <w:rPr>
                <w:rFonts w:ascii="Arial" w:hAnsi="Arial" w:cs="Arial"/>
                <w:noProof w:val="0"/>
                <w:szCs w:val="22"/>
                <w:lang w:val="en-GB" w:eastAsia="en-GB"/>
              </w:rPr>
            </w:pPr>
            <w:r w:rsidRPr="00B30FDD">
              <w:rPr>
                <w:rFonts w:ascii="Arial" w:hAnsi="Arial" w:cs="Arial"/>
                <w:noProof w:val="0"/>
                <w:szCs w:val="22"/>
                <w:lang w:val="en-GB" w:eastAsia="en-GB"/>
              </w:rPr>
              <w:t> </w:t>
            </w:r>
          </w:p>
        </w:tc>
        <w:tc>
          <w:tcPr>
            <w:tcW w:w="1800" w:type="dxa"/>
            <w:tcBorders>
              <w:top w:val="nil"/>
              <w:left w:val="nil"/>
              <w:bottom w:val="nil"/>
              <w:right w:val="single" w:sz="4" w:space="0" w:color="auto"/>
            </w:tcBorders>
            <w:shd w:val="clear" w:color="auto" w:fill="auto"/>
            <w:noWrap/>
            <w:vAlign w:val="bottom"/>
            <w:hideMark/>
          </w:tcPr>
          <w:p w14:paraId="222D224F" w14:textId="77777777" w:rsidR="00B30FDD" w:rsidRPr="00B30FDD" w:rsidRDefault="00B30FDD" w:rsidP="00B30FDD">
            <w:pPr>
              <w:rPr>
                <w:rFonts w:ascii="Arial" w:hAnsi="Arial" w:cs="Arial"/>
                <w:noProof w:val="0"/>
                <w:szCs w:val="22"/>
                <w:lang w:val="en-GB" w:eastAsia="en-GB"/>
              </w:rPr>
            </w:pPr>
            <w:r w:rsidRPr="00B30FDD">
              <w:rPr>
                <w:rFonts w:ascii="Arial" w:hAnsi="Arial" w:cs="Arial"/>
                <w:noProof w:val="0"/>
                <w:szCs w:val="22"/>
                <w:lang w:val="en-GB" w:eastAsia="en-GB"/>
              </w:rPr>
              <w:t> </w:t>
            </w:r>
          </w:p>
        </w:tc>
        <w:tc>
          <w:tcPr>
            <w:tcW w:w="1840" w:type="dxa"/>
            <w:tcBorders>
              <w:top w:val="nil"/>
              <w:left w:val="nil"/>
              <w:bottom w:val="nil"/>
              <w:right w:val="single" w:sz="4" w:space="0" w:color="auto"/>
            </w:tcBorders>
            <w:shd w:val="clear" w:color="auto" w:fill="auto"/>
            <w:noWrap/>
            <w:vAlign w:val="bottom"/>
            <w:hideMark/>
          </w:tcPr>
          <w:p w14:paraId="3889F615" w14:textId="77777777" w:rsidR="00B30FDD" w:rsidRPr="00B30FDD" w:rsidRDefault="00B30FDD" w:rsidP="00B30FDD">
            <w:pPr>
              <w:rPr>
                <w:rFonts w:ascii="Arial" w:hAnsi="Arial" w:cs="Arial"/>
                <w:noProof w:val="0"/>
                <w:szCs w:val="22"/>
                <w:lang w:val="en-GB" w:eastAsia="en-GB"/>
              </w:rPr>
            </w:pPr>
            <w:r w:rsidRPr="00B30FDD">
              <w:rPr>
                <w:rFonts w:ascii="Arial" w:hAnsi="Arial" w:cs="Arial"/>
                <w:noProof w:val="0"/>
                <w:szCs w:val="22"/>
                <w:lang w:val="en-GB" w:eastAsia="en-GB"/>
              </w:rPr>
              <w:t> </w:t>
            </w:r>
          </w:p>
        </w:tc>
        <w:tc>
          <w:tcPr>
            <w:tcW w:w="1300" w:type="dxa"/>
            <w:tcBorders>
              <w:top w:val="nil"/>
              <w:left w:val="nil"/>
              <w:bottom w:val="nil"/>
              <w:right w:val="single" w:sz="8" w:space="0" w:color="auto"/>
            </w:tcBorders>
            <w:shd w:val="clear" w:color="auto" w:fill="auto"/>
            <w:noWrap/>
            <w:vAlign w:val="bottom"/>
            <w:hideMark/>
          </w:tcPr>
          <w:p w14:paraId="1FB2651D" w14:textId="77777777" w:rsidR="00B30FDD" w:rsidRPr="00B30FDD" w:rsidRDefault="00B30FDD" w:rsidP="00B30FDD">
            <w:pPr>
              <w:jc w:val="center"/>
              <w:rPr>
                <w:rFonts w:ascii="Arial" w:hAnsi="Arial" w:cs="Arial"/>
                <w:noProof w:val="0"/>
                <w:szCs w:val="22"/>
                <w:lang w:val="en-GB" w:eastAsia="en-GB"/>
              </w:rPr>
            </w:pPr>
            <w:r w:rsidRPr="00B30FDD">
              <w:rPr>
                <w:rFonts w:ascii="Arial" w:hAnsi="Arial" w:cs="Arial"/>
                <w:noProof w:val="0"/>
                <w:szCs w:val="22"/>
                <w:lang w:val="en-GB" w:eastAsia="en-GB"/>
              </w:rPr>
              <w:t> </w:t>
            </w:r>
          </w:p>
        </w:tc>
      </w:tr>
      <w:tr w:rsidR="00B30FDD" w:rsidRPr="00B30FDD" w14:paraId="614166CF" w14:textId="77777777" w:rsidTr="00B30FDD">
        <w:trPr>
          <w:trHeight w:val="285"/>
        </w:trPr>
        <w:tc>
          <w:tcPr>
            <w:tcW w:w="700" w:type="dxa"/>
            <w:tcBorders>
              <w:top w:val="nil"/>
              <w:left w:val="single" w:sz="8" w:space="0" w:color="auto"/>
              <w:bottom w:val="nil"/>
              <w:right w:val="nil"/>
            </w:tcBorders>
            <w:shd w:val="clear" w:color="000000" w:fill="E3FFFF"/>
            <w:noWrap/>
            <w:vAlign w:val="bottom"/>
            <w:hideMark/>
          </w:tcPr>
          <w:p w14:paraId="6C77B8F0" w14:textId="77777777" w:rsidR="00B30FDD" w:rsidRPr="00B30FDD" w:rsidRDefault="00B30FDD" w:rsidP="00B30FDD">
            <w:pPr>
              <w:jc w:val="center"/>
              <w:rPr>
                <w:rFonts w:ascii="Arial" w:hAnsi="Arial" w:cs="Arial"/>
                <w:noProof w:val="0"/>
                <w:szCs w:val="22"/>
                <w:lang w:val="en-GB" w:eastAsia="en-GB"/>
              </w:rPr>
            </w:pPr>
            <w:r w:rsidRPr="00B30FDD">
              <w:rPr>
                <w:rFonts w:ascii="Arial" w:hAnsi="Arial" w:cs="Arial"/>
                <w:noProof w:val="0"/>
                <w:szCs w:val="22"/>
                <w:lang w:val="en-GB" w:eastAsia="en-GB"/>
              </w:rPr>
              <w:t>147</w:t>
            </w:r>
          </w:p>
        </w:tc>
        <w:tc>
          <w:tcPr>
            <w:tcW w:w="3406" w:type="dxa"/>
            <w:tcBorders>
              <w:top w:val="nil"/>
              <w:left w:val="single" w:sz="4" w:space="0" w:color="auto"/>
              <w:bottom w:val="nil"/>
              <w:right w:val="single" w:sz="4" w:space="0" w:color="auto"/>
            </w:tcBorders>
            <w:shd w:val="clear" w:color="000000" w:fill="E3FFFF"/>
            <w:noWrap/>
            <w:vAlign w:val="bottom"/>
            <w:hideMark/>
          </w:tcPr>
          <w:p w14:paraId="47FEC3A0" w14:textId="77777777" w:rsidR="00B30FDD" w:rsidRPr="00B30FDD" w:rsidRDefault="00B30FDD" w:rsidP="00B30FDD">
            <w:pPr>
              <w:rPr>
                <w:rFonts w:ascii="Arial" w:hAnsi="Arial" w:cs="Arial"/>
                <w:noProof w:val="0"/>
                <w:szCs w:val="22"/>
                <w:lang w:val="en-GB" w:eastAsia="en-GB"/>
              </w:rPr>
            </w:pPr>
            <w:proofErr w:type="spellStart"/>
            <w:r w:rsidRPr="00B30FDD">
              <w:rPr>
                <w:rFonts w:ascii="Arial" w:hAnsi="Arial" w:cs="Arial"/>
                <w:noProof w:val="0"/>
                <w:szCs w:val="22"/>
                <w:lang w:val="en-GB" w:eastAsia="en-GB"/>
              </w:rPr>
              <w:t>Rashodi</w:t>
            </w:r>
            <w:proofErr w:type="spellEnd"/>
            <w:r w:rsidRPr="00B30FDD">
              <w:rPr>
                <w:rFonts w:ascii="Arial" w:hAnsi="Arial" w:cs="Arial"/>
                <w:noProof w:val="0"/>
                <w:szCs w:val="22"/>
                <w:lang w:val="en-GB" w:eastAsia="en-GB"/>
              </w:rPr>
              <w:t xml:space="preserve"> za </w:t>
            </w:r>
            <w:proofErr w:type="spellStart"/>
            <w:r w:rsidRPr="00B30FDD">
              <w:rPr>
                <w:rFonts w:ascii="Arial" w:hAnsi="Arial" w:cs="Arial"/>
                <w:noProof w:val="0"/>
                <w:szCs w:val="22"/>
                <w:lang w:val="en-GB" w:eastAsia="en-GB"/>
              </w:rPr>
              <w:t>zaposlene</w:t>
            </w:r>
            <w:proofErr w:type="spellEnd"/>
          </w:p>
        </w:tc>
        <w:tc>
          <w:tcPr>
            <w:tcW w:w="1800" w:type="dxa"/>
            <w:tcBorders>
              <w:top w:val="nil"/>
              <w:left w:val="nil"/>
              <w:bottom w:val="nil"/>
              <w:right w:val="single" w:sz="4" w:space="0" w:color="auto"/>
            </w:tcBorders>
            <w:shd w:val="clear" w:color="auto" w:fill="auto"/>
            <w:noWrap/>
            <w:vAlign w:val="bottom"/>
            <w:hideMark/>
          </w:tcPr>
          <w:p w14:paraId="13A3B575" w14:textId="77777777" w:rsidR="00B30FDD" w:rsidRPr="00B30FDD" w:rsidRDefault="00B30FDD" w:rsidP="00B30FDD">
            <w:pPr>
              <w:jc w:val="right"/>
              <w:rPr>
                <w:rFonts w:ascii="Arial" w:hAnsi="Arial" w:cs="Arial"/>
                <w:noProof w:val="0"/>
                <w:szCs w:val="22"/>
                <w:lang w:val="en-GB" w:eastAsia="en-GB"/>
              </w:rPr>
            </w:pPr>
            <w:r w:rsidRPr="00B30FDD">
              <w:rPr>
                <w:rFonts w:ascii="Arial" w:hAnsi="Arial" w:cs="Arial"/>
                <w:noProof w:val="0"/>
                <w:szCs w:val="22"/>
                <w:lang w:val="en-GB" w:eastAsia="en-GB"/>
              </w:rPr>
              <w:t>24.847.037</w:t>
            </w:r>
          </w:p>
        </w:tc>
        <w:tc>
          <w:tcPr>
            <w:tcW w:w="1840" w:type="dxa"/>
            <w:tcBorders>
              <w:top w:val="nil"/>
              <w:left w:val="nil"/>
              <w:bottom w:val="nil"/>
              <w:right w:val="single" w:sz="4" w:space="0" w:color="auto"/>
            </w:tcBorders>
            <w:shd w:val="clear" w:color="auto" w:fill="auto"/>
            <w:noWrap/>
            <w:vAlign w:val="bottom"/>
            <w:hideMark/>
          </w:tcPr>
          <w:p w14:paraId="0A75054D" w14:textId="77777777" w:rsidR="00B30FDD" w:rsidRPr="00B30FDD" w:rsidRDefault="00B30FDD" w:rsidP="00B30FDD">
            <w:pPr>
              <w:jc w:val="right"/>
              <w:rPr>
                <w:rFonts w:ascii="Arial" w:hAnsi="Arial" w:cs="Arial"/>
                <w:noProof w:val="0"/>
                <w:szCs w:val="22"/>
                <w:lang w:val="en-GB" w:eastAsia="en-GB"/>
              </w:rPr>
            </w:pPr>
            <w:r w:rsidRPr="00B30FDD">
              <w:rPr>
                <w:rFonts w:ascii="Arial" w:hAnsi="Arial" w:cs="Arial"/>
                <w:noProof w:val="0"/>
                <w:szCs w:val="22"/>
                <w:lang w:val="en-GB" w:eastAsia="en-GB"/>
              </w:rPr>
              <w:t>27.488.278</w:t>
            </w:r>
          </w:p>
        </w:tc>
        <w:tc>
          <w:tcPr>
            <w:tcW w:w="1300" w:type="dxa"/>
            <w:tcBorders>
              <w:top w:val="nil"/>
              <w:left w:val="nil"/>
              <w:bottom w:val="nil"/>
              <w:right w:val="single" w:sz="8" w:space="0" w:color="auto"/>
            </w:tcBorders>
            <w:shd w:val="clear" w:color="auto" w:fill="auto"/>
            <w:noWrap/>
            <w:vAlign w:val="bottom"/>
            <w:hideMark/>
          </w:tcPr>
          <w:p w14:paraId="46590C80" w14:textId="77777777" w:rsidR="00B30FDD" w:rsidRPr="00B30FDD" w:rsidRDefault="00B30FDD" w:rsidP="00B30FDD">
            <w:pPr>
              <w:jc w:val="center"/>
              <w:rPr>
                <w:rFonts w:ascii="Arial" w:hAnsi="Arial" w:cs="Arial"/>
                <w:noProof w:val="0"/>
                <w:szCs w:val="22"/>
                <w:lang w:val="en-GB" w:eastAsia="en-GB"/>
              </w:rPr>
            </w:pPr>
            <w:r w:rsidRPr="00B30FDD">
              <w:rPr>
                <w:rFonts w:ascii="Arial" w:hAnsi="Arial" w:cs="Arial"/>
                <w:noProof w:val="0"/>
                <w:szCs w:val="22"/>
                <w:lang w:val="en-GB" w:eastAsia="en-GB"/>
              </w:rPr>
              <w:t>110,63</w:t>
            </w:r>
          </w:p>
        </w:tc>
      </w:tr>
      <w:tr w:rsidR="00B30FDD" w:rsidRPr="00B30FDD" w14:paraId="1F9C49D7" w14:textId="77777777" w:rsidTr="00B30FDD">
        <w:trPr>
          <w:trHeight w:val="285"/>
        </w:trPr>
        <w:tc>
          <w:tcPr>
            <w:tcW w:w="700" w:type="dxa"/>
            <w:tcBorders>
              <w:top w:val="nil"/>
              <w:left w:val="single" w:sz="8" w:space="0" w:color="auto"/>
              <w:bottom w:val="nil"/>
              <w:right w:val="nil"/>
            </w:tcBorders>
            <w:shd w:val="clear" w:color="000000" w:fill="E3FFFF"/>
            <w:noWrap/>
            <w:vAlign w:val="bottom"/>
            <w:hideMark/>
          </w:tcPr>
          <w:p w14:paraId="25120B03" w14:textId="77777777" w:rsidR="00B30FDD" w:rsidRPr="00B30FDD" w:rsidRDefault="00B30FDD" w:rsidP="00B30FDD">
            <w:pPr>
              <w:jc w:val="center"/>
              <w:rPr>
                <w:rFonts w:ascii="Arial" w:hAnsi="Arial" w:cs="Arial"/>
                <w:noProof w:val="0"/>
                <w:szCs w:val="22"/>
                <w:lang w:val="en-GB" w:eastAsia="en-GB"/>
              </w:rPr>
            </w:pPr>
            <w:r w:rsidRPr="00B30FDD">
              <w:rPr>
                <w:rFonts w:ascii="Arial" w:hAnsi="Arial" w:cs="Arial"/>
                <w:noProof w:val="0"/>
                <w:szCs w:val="22"/>
                <w:lang w:val="en-GB" w:eastAsia="en-GB"/>
              </w:rPr>
              <w:t>158</w:t>
            </w:r>
          </w:p>
        </w:tc>
        <w:tc>
          <w:tcPr>
            <w:tcW w:w="3406" w:type="dxa"/>
            <w:tcBorders>
              <w:top w:val="nil"/>
              <w:left w:val="single" w:sz="4" w:space="0" w:color="auto"/>
              <w:bottom w:val="nil"/>
              <w:right w:val="single" w:sz="4" w:space="0" w:color="auto"/>
            </w:tcBorders>
            <w:shd w:val="clear" w:color="000000" w:fill="E3FFFF"/>
            <w:noWrap/>
            <w:vAlign w:val="bottom"/>
            <w:hideMark/>
          </w:tcPr>
          <w:p w14:paraId="403D3693" w14:textId="77777777" w:rsidR="00B30FDD" w:rsidRPr="00B30FDD" w:rsidRDefault="00B30FDD" w:rsidP="00B30FDD">
            <w:pPr>
              <w:rPr>
                <w:rFonts w:ascii="Arial" w:hAnsi="Arial" w:cs="Arial"/>
                <w:noProof w:val="0"/>
                <w:szCs w:val="22"/>
                <w:lang w:val="en-GB" w:eastAsia="en-GB"/>
              </w:rPr>
            </w:pPr>
            <w:proofErr w:type="spellStart"/>
            <w:r w:rsidRPr="00B30FDD">
              <w:rPr>
                <w:rFonts w:ascii="Arial" w:hAnsi="Arial" w:cs="Arial"/>
                <w:noProof w:val="0"/>
                <w:szCs w:val="22"/>
                <w:lang w:val="en-GB" w:eastAsia="en-GB"/>
              </w:rPr>
              <w:t>Materijalni</w:t>
            </w:r>
            <w:proofErr w:type="spellEnd"/>
            <w:r w:rsidRPr="00B30FDD">
              <w:rPr>
                <w:rFonts w:ascii="Arial" w:hAnsi="Arial" w:cs="Arial"/>
                <w:noProof w:val="0"/>
                <w:szCs w:val="22"/>
                <w:lang w:val="en-GB" w:eastAsia="en-GB"/>
              </w:rPr>
              <w:t xml:space="preserve"> </w:t>
            </w:r>
            <w:proofErr w:type="spellStart"/>
            <w:r w:rsidRPr="00B30FDD">
              <w:rPr>
                <w:rFonts w:ascii="Arial" w:hAnsi="Arial" w:cs="Arial"/>
                <w:noProof w:val="0"/>
                <w:szCs w:val="22"/>
                <w:lang w:val="en-GB" w:eastAsia="en-GB"/>
              </w:rPr>
              <w:t>rashodi</w:t>
            </w:r>
            <w:proofErr w:type="spellEnd"/>
          </w:p>
        </w:tc>
        <w:tc>
          <w:tcPr>
            <w:tcW w:w="1800" w:type="dxa"/>
            <w:tcBorders>
              <w:top w:val="nil"/>
              <w:left w:val="nil"/>
              <w:bottom w:val="nil"/>
              <w:right w:val="single" w:sz="4" w:space="0" w:color="auto"/>
            </w:tcBorders>
            <w:shd w:val="clear" w:color="auto" w:fill="auto"/>
            <w:noWrap/>
            <w:vAlign w:val="bottom"/>
            <w:hideMark/>
          </w:tcPr>
          <w:p w14:paraId="07637FFF" w14:textId="77777777" w:rsidR="00B30FDD" w:rsidRPr="00B30FDD" w:rsidRDefault="00B30FDD" w:rsidP="00B30FDD">
            <w:pPr>
              <w:jc w:val="right"/>
              <w:rPr>
                <w:rFonts w:ascii="Arial" w:hAnsi="Arial" w:cs="Arial"/>
                <w:noProof w:val="0"/>
                <w:szCs w:val="22"/>
                <w:lang w:val="en-GB" w:eastAsia="en-GB"/>
              </w:rPr>
            </w:pPr>
            <w:r w:rsidRPr="00B30FDD">
              <w:rPr>
                <w:rFonts w:ascii="Arial" w:hAnsi="Arial" w:cs="Arial"/>
                <w:noProof w:val="0"/>
                <w:szCs w:val="22"/>
                <w:lang w:val="en-GB" w:eastAsia="en-GB"/>
              </w:rPr>
              <w:t>23.084.446</w:t>
            </w:r>
          </w:p>
        </w:tc>
        <w:tc>
          <w:tcPr>
            <w:tcW w:w="1840" w:type="dxa"/>
            <w:tcBorders>
              <w:top w:val="nil"/>
              <w:left w:val="nil"/>
              <w:bottom w:val="nil"/>
              <w:right w:val="single" w:sz="4" w:space="0" w:color="auto"/>
            </w:tcBorders>
            <w:shd w:val="clear" w:color="auto" w:fill="auto"/>
            <w:noWrap/>
            <w:vAlign w:val="bottom"/>
            <w:hideMark/>
          </w:tcPr>
          <w:p w14:paraId="0F31FDE8" w14:textId="77777777" w:rsidR="00B30FDD" w:rsidRPr="00B30FDD" w:rsidRDefault="00B30FDD" w:rsidP="00B30FDD">
            <w:pPr>
              <w:jc w:val="right"/>
              <w:rPr>
                <w:rFonts w:ascii="Arial" w:hAnsi="Arial" w:cs="Arial"/>
                <w:noProof w:val="0"/>
                <w:szCs w:val="22"/>
                <w:lang w:val="en-GB" w:eastAsia="en-GB"/>
              </w:rPr>
            </w:pPr>
            <w:r w:rsidRPr="00B30FDD">
              <w:rPr>
                <w:rFonts w:ascii="Arial" w:hAnsi="Arial" w:cs="Arial"/>
                <w:noProof w:val="0"/>
                <w:szCs w:val="22"/>
                <w:lang w:val="en-GB" w:eastAsia="en-GB"/>
              </w:rPr>
              <w:t>29.441.658</w:t>
            </w:r>
          </w:p>
        </w:tc>
        <w:tc>
          <w:tcPr>
            <w:tcW w:w="1300" w:type="dxa"/>
            <w:tcBorders>
              <w:top w:val="nil"/>
              <w:left w:val="nil"/>
              <w:bottom w:val="nil"/>
              <w:right w:val="single" w:sz="8" w:space="0" w:color="auto"/>
            </w:tcBorders>
            <w:shd w:val="clear" w:color="auto" w:fill="auto"/>
            <w:noWrap/>
            <w:vAlign w:val="bottom"/>
            <w:hideMark/>
          </w:tcPr>
          <w:p w14:paraId="0BE65D77" w14:textId="77777777" w:rsidR="00B30FDD" w:rsidRPr="00B30FDD" w:rsidRDefault="00B30FDD" w:rsidP="00B30FDD">
            <w:pPr>
              <w:jc w:val="center"/>
              <w:rPr>
                <w:rFonts w:ascii="Arial" w:hAnsi="Arial" w:cs="Arial"/>
                <w:noProof w:val="0"/>
                <w:szCs w:val="22"/>
                <w:lang w:val="en-GB" w:eastAsia="en-GB"/>
              </w:rPr>
            </w:pPr>
            <w:r w:rsidRPr="00B30FDD">
              <w:rPr>
                <w:rFonts w:ascii="Arial" w:hAnsi="Arial" w:cs="Arial"/>
                <w:noProof w:val="0"/>
                <w:szCs w:val="22"/>
                <w:lang w:val="en-GB" w:eastAsia="en-GB"/>
              </w:rPr>
              <w:t>127,54</w:t>
            </w:r>
          </w:p>
        </w:tc>
      </w:tr>
      <w:tr w:rsidR="00B30FDD" w:rsidRPr="00B30FDD" w14:paraId="780042B3" w14:textId="77777777" w:rsidTr="00B30FDD">
        <w:trPr>
          <w:trHeight w:val="285"/>
        </w:trPr>
        <w:tc>
          <w:tcPr>
            <w:tcW w:w="700" w:type="dxa"/>
            <w:tcBorders>
              <w:top w:val="nil"/>
              <w:left w:val="single" w:sz="8" w:space="0" w:color="auto"/>
              <w:bottom w:val="nil"/>
              <w:right w:val="nil"/>
            </w:tcBorders>
            <w:shd w:val="clear" w:color="000000" w:fill="E3FFFF"/>
            <w:noWrap/>
            <w:vAlign w:val="bottom"/>
            <w:hideMark/>
          </w:tcPr>
          <w:p w14:paraId="49C98C01" w14:textId="77777777" w:rsidR="00B30FDD" w:rsidRPr="00B30FDD" w:rsidRDefault="00B30FDD" w:rsidP="00B30FDD">
            <w:pPr>
              <w:jc w:val="center"/>
              <w:rPr>
                <w:rFonts w:ascii="Arial" w:hAnsi="Arial" w:cs="Arial"/>
                <w:noProof w:val="0"/>
                <w:szCs w:val="22"/>
                <w:lang w:val="en-GB" w:eastAsia="en-GB"/>
              </w:rPr>
            </w:pPr>
            <w:r w:rsidRPr="00B30FDD">
              <w:rPr>
                <w:rFonts w:ascii="Arial" w:hAnsi="Arial" w:cs="Arial"/>
                <w:noProof w:val="0"/>
                <w:szCs w:val="22"/>
                <w:lang w:val="en-GB" w:eastAsia="en-GB"/>
              </w:rPr>
              <w:t>191</w:t>
            </w:r>
          </w:p>
        </w:tc>
        <w:tc>
          <w:tcPr>
            <w:tcW w:w="3406" w:type="dxa"/>
            <w:tcBorders>
              <w:top w:val="nil"/>
              <w:left w:val="single" w:sz="4" w:space="0" w:color="auto"/>
              <w:bottom w:val="nil"/>
              <w:right w:val="single" w:sz="4" w:space="0" w:color="auto"/>
            </w:tcBorders>
            <w:shd w:val="clear" w:color="000000" w:fill="E3FFFF"/>
            <w:noWrap/>
            <w:vAlign w:val="bottom"/>
            <w:hideMark/>
          </w:tcPr>
          <w:p w14:paraId="540CE677" w14:textId="77777777" w:rsidR="00B30FDD" w:rsidRPr="00B30FDD" w:rsidRDefault="00B30FDD" w:rsidP="00B30FDD">
            <w:pPr>
              <w:rPr>
                <w:rFonts w:ascii="Arial" w:hAnsi="Arial" w:cs="Arial"/>
                <w:noProof w:val="0"/>
                <w:szCs w:val="22"/>
                <w:lang w:val="en-GB" w:eastAsia="en-GB"/>
              </w:rPr>
            </w:pPr>
            <w:proofErr w:type="spellStart"/>
            <w:r w:rsidRPr="00B30FDD">
              <w:rPr>
                <w:rFonts w:ascii="Arial" w:hAnsi="Arial" w:cs="Arial"/>
                <w:noProof w:val="0"/>
                <w:szCs w:val="22"/>
                <w:lang w:val="en-GB" w:eastAsia="en-GB"/>
              </w:rPr>
              <w:t>Financijski</w:t>
            </w:r>
            <w:proofErr w:type="spellEnd"/>
            <w:r w:rsidRPr="00B30FDD">
              <w:rPr>
                <w:rFonts w:ascii="Arial" w:hAnsi="Arial" w:cs="Arial"/>
                <w:noProof w:val="0"/>
                <w:szCs w:val="22"/>
                <w:lang w:val="en-GB" w:eastAsia="en-GB"/>
              </w:rPr>
              <w:t xml:space="preserve"> </w:t>
            </w:r>
            <w:proofErr w:type="spellStart"/>
            <w:r w:rsidRPr="00B30FDD">
              <w:rPr>
                <w:rFonts w:ascii="Arial" w:hAnsi="Arial" w:cs="Arial"/>
                <w:noProof w:val="0"/>
                <w:szCs w:val="22"/>
                <w:lang w:val="en-GB" w:eastAsia="en-GB"/>
              </w:rPr>
              <w:t>rashodi</w:t>
            </w:r>
            <w:proofErr w:type="spellEnd"/>
          </w:p>
        </w:tc>
        <w:tc>
          <w:tcPr>
            <w:tcW w:w="1800" w:type="dxa"/>
            <w:tcBorders>
              <w:top w:val="nil"/>
              <w:left w:val="nil"/>
              <w:bottom w:val="nil"/>
              <w:right w:val="single" w:sz="4" w:space="0" w:color="auto"/>
            </w:tcBorders>
            <w:shd w:val="clear" w:color="auto" w:fill="auto"/>
            <w:noWrap/>
            <w:vAlign w:val="bottom"/>
            <w:hideMark/>
          </w:tcPr>
          <w:p w14:paraId="0DF256D9" w14:textId="77777777" w:rsidR="00B30FDD" w:rsidRPr="00B30FDD" w:rsidRDefault="00B30FDD" w:rsidP="00B30FDD">
            <w:pPr>
              <w:jc w:val="right"/>
              <w:rPr>
                <w:rFonts w:ascii="Arial" w:hAnsi="Arial" w:cs="Arial"/>
                <w:noProof w:val="0"/>
                <w:szCs w:val="22"/>
                <w:lang w:val="en-GB" w:eastAsia="en-GB"/>
              </w:rPr>
            </w:pPr>
            <w:r w:rsidRPr="00B30FDD">
              <w:rPr>
                <w:rFonts w:ascii="Arial" w:hAnsi="Arial" w:cs="Arial"/>
                <w:noProof w:val="0"/>
                <w:szCs w:val="22"/>
                <w:lang w:val="en-GB" w:eastAsia="en-GB"/>
              </w:rPr>
              <w:t>91.220</w:t>
            </w:r>
          </w:p>
        </w:tc>
        <w:tc>
          <w:tcPr>
            <w:tcW w:w="1840" w:type="dxa"/>
            <w:tcBorders>
              <w:top w:val="nil"/>
              <w:left w:val="nil"/>
              <w:bottom w:val="nil"/>
              <w:right w:val="single" w:sz="4" w:space="0" w:color="auto"/>
            </w:tcBorders>
            <w:shd w:val="clear" w:color="auto" w:fill="auto"/>
            <w:noWrap/>
            <w:vAlign w:val="bottom"/>
            <w:hideMark/>
          </w:tcPr>
          <w:p w14:paraId="24FA80BA" w14:textId="77777777" w:rsidR="00B30FDD" w:rsidRPr="00B30FDD" w:rsidRDefault="00B30FDD" w:rsidP="00B30FDD">
            <w:pPr>
              <w:jc w:val="right"/>
              <w:rPr>
                <w:rFonts w:ascii="Arial" w:hAnsi="Arial" w:cs="Arial"/>
                <w:noProof w:val="0"/>
                <w:szCs w:val="22"/>
                <w:lang w:val="en-GB" w:eastAsia="en-GB"/>
              </w:rPr>
            </w:pPr>
            <w:r w:rsidRPr="00B30FDD">
              <w:rPr>
                <w:rFonts w:ascii="Arial" w:hAnsi="Arial" w:cs="Arial"/>
                <w:noProof w:val="0"/>
                <w:szCs w:val="22"/>
                <w:lang w:val="en-GB" w:eastAsia="en-GB"/>
              </w:rPr>
              <w:t>120.129</w:t>
            </w:r>
          </w:p>
        </w:tc>
        <w:tc>
          <w:tcPr>
            <w:tcW w:w="1300" w:type="dxa"/>
            <w:tcBorders>
              <w:top w:val="nil"/>
              <w:left w:val="nil"/>
              <w:bottom w:val="nil"/>
              <w:right w:val="single" w:sz="8" w:space="0" w:color="auto"/>
            </w:tcBorders>
            <w:shd w:val="clear" w:color="auto" w:fill="auto"/>
            <w:noWrap/>
            <w:vAlign w:val="bottom"/>
            <w:hideMark/>
          </w:tcPr>
          <w:p w14:paraId="39291465" w14:textId="77777777" w:rsidR="00B30FDD" w:rsidRPr="00B30FDD" w:rsidRDefault="00B30FDD" w:rsidP="00B30FDD">
            <w:pPr>
              <w:jc w:val="center"/>
              <w:rPr>
                <w:rFonts w:ascii="Arial" w:hAnsi="Arial" w:cs="Arial"/>
                <w:noProof w:val="0"/>
                <w:szCs w:val="22"/>
                <w:lang w:val="en-GB" w:eastAsia="en-GB"/>
              </w:rPr>
            </w:pPr>
            <w:r w:rsidRPr="00B30FDD">
              <w:rPr>
                <w:rFonts w:ascii="Arial" w:hAnsi="Arial" w:cs="Arial"/>
                <w:noProof w:val="0"/>
                <w:szCs w:val="22"/>
                <w:lang w:val="en-GB" w:eastAsia="en-GB"/>
              </w:rPr>
              <w:t>131,69</w:t>
            </w:r>
          </w:p>
        </w:tc>
      </w:tr>
      <w:tr w:rsidR="00B30FDD" w:rsidRPr="00B30FDD" w14:paraId="76EA715F" w14:textId="77777777" w:rsidTr="00B30FDD">
        <w:trPr>
          <w:trHeight w:val="555"/>
        </w:trPr>
        <w:tc>
          <w:tcPr>
            <w:tcW w:w="700" w:type="dxa"/>
            <w:tcBorders>
              <w:top w:val="nil"/>
              <w:left w:val="single" w:sz="8" w:space="0" w:color="auto"/>
              <w:bottom w:val="nil"/>
              <w:right w:val="nil"/>
            </w:tcBorders>
            <w:shd w:val="clear" w:color="000000" w:fill="E3FFFF"/>
            <w:noWrap/>
            <w:vAlign w:val="center"/>
            <w:hideMark/>
          </w:tcPr>
          <w:p w14:paraId="3D0BCF54" w14:textId="77777777" w:rsidR="00B30FDD" w:rsidRPr="00B30FDD" w:rsidRDefault="00B30FDD" w:rsidP="00B30FDD">
            <w:pPr>
              <w:jc w:val="center"/>
              <w:rPr>
                <w:rFonts w:ascii="Arial" w:hAnsi="Arial" w:cs="Arial"/>
                <w:noProof w:val="0"/>
                <w:szCs w:val="22"/>
                <w:lang w:val="en-GB" w:eastAsia="en-GB"/>
              </w:rPr>
            </w:pPr>
            <w:r w:rsidRPr="00B30FDD">
              <w:rPr>
                <w:rFonts w:ascii="Arial" w:hAnsi="Arial" w:cs="Arial"/>
                <w:noProof w:val="0"/>
                <w:szCs w:val="22"/>
                <w:lang w:val="en-GB" w:eastAsia="en-GB"/>
              </w:rPr>
              <w:t>219</w:t>
            </w:r>
          </w:p>
        </w:tc>
        <w:tc>
          <w:tcPr>
            <w:tcW w:w="3406" w:type="dxa"/>
            <w:tcBorders>
              <w:top w:val="nil"/>
              <w:left w:val="single" w:sz="4" w:space="0" w:color="auto"/>
              <w:bottom w:val="nil"/>
              <w:right w:val="single" w:sz="4" w:space="0" w:color="auto"/>
            </w:tcBorders>
            <w:shd w:val="clear" w:color="000000" w:fill="E3FFFF"/>
            <w:vAlign w:val="bottom"/>
            <w:hideMark/>
          </w:tcPr>
          <w:p w14:paraId="091D9E90" w14:textId="77777777" w:rsidR="00B30FDD" w:rsidRPr="00B30FDD" w:rsidRDefault="00B30FDD" w:rsidP="00B30FDD">
            <w:pPr>
              <w:rPr>
                <w:rFonts w:ascii="Arial" w:hAnsi="Arial" w:cs="Arial"/>
                <w:noProof w:val="0"/>
                <w:szCs w:val="22"/>
                <w:lang w:val="en-GB" w:eastAsia="en-GB"/>
              </w:rPr>
            </w:pPr>
            <w:proofErr w:type="spellStart"/>
            <w:r w:rsidRPr="00B30FDD">
              <w:rPr>
                <w:rFonts w:ascii="Arial" w:hAnsi="Arial" w:cs="Arial"/>
                <w:noProof w:val="0"/>
                <w:szCs w:val="22"/>
                <w:lang w:val="en-GB" w:eastAsia="en-GB"/>
              </w:rPr>
              <w:t>Pomoći</w:t>
            </w:r>
            <w:proofErr w:type="spellEnd"/>
            <w:r w:rsidRPr="00B30FDD">
              <w:rPr>
                <w:rFonts w:ascii="Arial" w:hAnsi="Arial" w:cs="Arial"/>
                <w:noProof w:val="0"/>
                <w:szCs w:val="22"/>
                <w:lang w:val="en-GB" w:eastAsia="en-GB"/>
              </w:rPr>
              <w:t xml:space="preserve"> </w:t>
            </w:r>
            <w:proofErr w:type="spellStart"/>
            <w:r w:rsidRPr="00B30FDD">
              <w:rPr>
                <w:rFonts w:ascii="Arial" w:hAnsi="Arial" w:cs="Arial"/>
                <w:noProof w:val="0"/>
                <w:szCs w:val="22"/>
                <w:lang w:val="en-GB" w:eastAsia="en-GB"/>
              </w:rPr>
              <w:t>dane</w:t>
            </w:r>
            <w:proofErr w:type="spellEnd"/>
            <w:r w:rsidRPr="00B30FDD">
              <w:rPr>
                <w:rFonts w:ascii="Arial" w:hAnsi="Arial" w:cs="Arial"/>
                <w:noProof w:val="0"/>
                <w:szCs w:val="22"/>
                <w:lang w:val="en-GB" w:eastAsia="en-GB"/>
              </w:rPr>
              <w:t xml:space="preserve"> u </w:t>
            </w:r>
            <w:proofErr w:type="spellStart"/>
            <w:r w:rsidRPr="00B30FDD">
              <w:rPr>
                <w:rFonts w:ascii="Arial" w:hAnsi="Arial" w:cs="Arial"/>
                <w:noProof w:val="0"/>
                <w:szCs w:val="22"/>
                <w:lang w:val="en-GB" w:eastAsia="en-GB"/>
              </w:rPr>
              <w:t>inozemstvo</w:t>
            </w:r>
            <w:proofErr w:type="spellEnd"/>
            <w:r w:rsidRPr="00B30FDD">
              <w:rPr>
                <w:rFonts w:ascii="Arial" w:hAnsi="Arial" w:cs="Arial"/>
                <w:noProof w:val="0"/>
                <w:szCs w:val="22"/>
                <w:lang w:val="en-GB" w:eastAsia="en-GB"/>
              </w:rPr>
              <w:t xml:space="preserve"> </w:t>
            </w:r>
            <w:proofErr w:type="spellStart"/>
            <w:r w:rsidRPr="00B30FDD">
              <w:rPr>
                <w:rFonts w:ascii="Arial" w:hAnsi="Arial" w:cs="Arial"/>
                <w:noProof w:val="0"/>
                <w:szCs w:val="22"/>
                <w:lang w:val="en-GB" w:eastAsia="en-GB"/>
              </w:rPr>
              <w:t>i</w:t>
            </w:r>
            <w:proofErr w:type="spellEnd"/>
            <w:r w:rsidRPr="00B30FDD">
              <w:rPr>
                <w:rFonts w:ascii="Arial" w:hAnsi="Arial" w:cs="Arial"/>
                <w:noProof w:val="0"/>
                <w:szCs w:val="22"/>
                <w:lang w:val="en-GB" w:eastAsia="en-GB"/>
              </w:rPr>
              <w:t xml:space="preserve"> </w:t>
            </w:r>
            <w:proofErr w:type="spellStart"/>
            <w:r w:rsidRPr="00B30FDD">
              <w:rPr>
                <w:rFonts w:ascii="Arial" w:hAnsi="Arial" w:cs="Arial"/>
                <w:noProof w:val="0"/>
                <w:szCs w:val="22"/>
                <w:lang w:val="en-GB" w:eastAsia="en-GB"/>
              </w:rPr>
              <w:t>unutar</w:t>
            </w:r>
            <w:proofErr w:type="spellEnd"/>
            <w:r w:rsidRPr="00B30FDD">
              <w:rPr>
                <w:rFonts w:ascii="Arial" w:hAnsi="Arial" w:cs="Arial"/>
                <w:noProof w:val="0"/>
                <w:szCs w:val="22"/>
                <w:lang w:val="en-GB" w:eastAsia="en-GB"/>
              </w:rPr>
              <w:t xml:space="preserve"> </w:t>
            </w:r>
            <w:proofErr w:type="spellStart"/>
            <w:r w:rsidRPr="00B30FDD">
              <w:rPr>
                <w:rFonts w:ascii="Arial" w:hAnsi="Arial" w:cs="Arial"/>
                <w:noProof w:val="0"/>
                <w:szCs w:val="22"/>
                <w:lang w:val="en-GB" w:eastAsia="en-GB"/>
              </w:rPr>
              <w:t>općeg</w:t>
            </w:r>
            <w:proofErr w:type="spellEnd"/>
            <w:r w:rsidRPr="00B30FDD">
              <w:rPr>
                <w:rFonts w:ascii="Arial" w:hAnsi="Arial" w:cs="Arial"/>
                <w:noProof w:val="0"/>
                <w:szCs w:val="22"/>
                <w:lang w:val="en-GB" w:eastAsia="en-GB"/>
              </w:rPr>
              <w:t xml:space="preserve"> </w:t>
            </w:r>
            <w:proofErr w:type="spellStart"/>
            <w:r w:rsidRPr="00B30FDD">
              <w:rPr>
                <w:rFonts w:ascii="Arial" w:hAnsi="Arial" w:cs="Arial"/>
                <w:noProof w:val="0"/>
                <w:szCs w:val="22"/>
                <w:lang w:val="en-GB" w:eastAsia="en-GB"/>
              </w:rPr>
              <w:t>proračuna</w:t>
            </w:r>
            <w:proofErr w:type="spellEnd"/>
          </w:p>
        </w:tc>
        <w:tc>
          <w:tcPr>
            <w:tcW w:w="1800" w:type="dxa"/>
            <w:tcBorders>
              <w:top w:val="nil"/>
              <w:left w:val="nil"/>
              <w:bottom w:val="nil"/>
              <w:right w:val="single" w:sz="4" w:space="0" w:color="auto"/>
            </w:tcBorders>
            <w:shd w:val="clear" w:color="auto" w:fill="auto"/>
            <w:noWrap/>
            <w:vAlign w:val="center"/>
            <w:hideMark/>
          </w:tcPr>
          <w:p w14:paraId="5058B402" w14:textId="77777777" w:rsidR="00B30FDD" w:rsidRPr="00B30FDD" w:rsidRDefault="00B30FDD" w:rsidP="00B30FDD">
            <w:pPr>
              <w:jc w:val="right"/>
              <w:rPr>
                <w:rFonts w:ascii="Arial" w:hAnsi="Arial" w:cs="Arial"/>
                <w:noProof w:val="0"/>
                <w:szCs w:val="22"/>
                <w:lang w:val="en-GB" w:eastAsia="en-GB"/>
              </w:rPr>
            </w:pPr>
            <w:r w:rsidRPr="00B30FDD">
              <w:rPr>
                <w:rFonts w:ascii="Arial" w:hAnsi="Arial" w:cs="Arial"/>
                <w:noProof w:val="0"/>
                <w:szCs w:val="22"/>
                <w:lang w:val="en-GB" w:eastAsia="en-GB"/>
              </w:rPr>
              <w:t>257.071</w:t>
            </w:r>
          </w:p>
        </w:tc>
        <w:tc>
          <w:tcPr>
            <w:tcW w:w="1840" w:type="dxa"/>
            <w:tcBorders>
              <w:top w:val="nil"/>
              <w:left w:val="nil"/>
              <w:bottom w:val="nil"/>
              <w:right w:val="single" w:sz="4" w:space="0" w:color="auto"/>
            </w:tcBorders>
            <w:shd w:val="clear" w:color="auto" w:fill="auto"/>
            <w:noWrap/>
            <w:vAlign w:val="center"/>
            <w:hideMark/>
          </w:tcPr>
          <w:p w14:paraId="75FE8551" w14:textId="77777777" w:rsidR="00B30FDD" w:rsidRPr="00B30FDD" w:rsidRDefault="00B30FDD" w:rsidP="00B30FDD">
            <w:pPr>
              <w:jc w:val="right"/>
              <w:rPr>
                <w:rFonts w:ascii="Arial" w:hAnsi="Arial" w:cs="Arial"/>
                <w:noProof w:val="0"/>
                <w:szCs w:val="22"/>
                <w:lang w:val="en-GB" w:eastAsia="en-GB"/>
              </w:rPr>
            </w:pPr>
            <w:r w:rsidRPr="00B30FDD">
              <w:rPr>
                <w:rFonts w:ascii="Arial" w:hAnsi="Arial" w:cs="Arial"/>
                <w:noProof w:val="0"/>
                <w:szCs w:val="22"/>
                <w:lang w:val="en-GB" w:eastAsia="en-GB"/>
              </w:rPr>
              <w:t>562.077</w:t>
            </w:r>
          </w:p>
        </w:tc>
        <w:tc>
          <w:tcPr>
            <w:tcW w:w="1300" w:type="dxa"/>
            <w:tcBorders>
              <w:top w:val="nil"/>
              <w:left w:val="nil"/>
              <w:bottom w:val="nil"/>
              <w:right w:val="single" w:sz="8" w:space="0" w:color="auto"/>
            </w:tcBorders>
            <w:shd w:val="clear" w:color="auto" w:fill="auto"/>
            <w:noWrap/>
            <w:vAlign w:val="center"/>
            <w:hideMark/>
          </w:tcPr>
          <w:p w14:paraId="404D7767" w14:textId="77777777" w:rsidR="00B30FDD" w:rsidRPr="00B30FDD" w:rsidRDefault="00B30FDD" w:rsidP="00B30FDD">
            <w:pPr>
              <w:jc w:val="center"/>
              <w:rPr>
                <w:rFonts w:ascii="Arial" w:hAnsi="Arial" w:cs="Arial"/>
                <w:noProof w:val="0"/>
                <w:szCs w:val="22"/>
                <w:lang w:val="en-GB" w:eastAsia="en-GB"/>
              </w:rPr>
            </w:pPr>
            <w:r w:rsidRPr="00B30FDD">
              <w:rPr>
                <w:rFonts w:ascii="Arial" w:hAnsi="Arial" w:cs="Arial"/>
                <w:noProof w:val="0"/>
                <w:szCs w:val="22"/>
                <w:lang w:val="en-GB" w:eastAsia="en-GB"/>
              </w:rPr>
              <w:t>218,65</w:t>
            </w:r>
          </w:p>
        </w:tc>
      </w:tr>
      <w:tr w:rsidR="00B30FDD" w:rsidRPr="00B30FDD" w14:paraId="074E1A82" w14:textId="77777777" w:rsidTr="00B30FDD">
        <w:trPr>
          <w:trHeight w:val="285"/>
        </w:trPr>
        <w:tc>
          <w:tcPr>
            <w:tcW w:w="700" w:type="dxa"/>
            <w:tcBorders>
              <w:top w:val="nil"/>
              <w:left w:val="single" w:sz="8" w:space="0" w:color="auto"/>
              <w:bottom w:val="nil"/>
              <w:right w:val="nil"/>
            </w:tcBorders>
            <w:shd w:val="clear" w:color="000000" w:fill="E3FFFF"/>
            <w:noWrap/>
            <w:vAlign w:val="bottom"/>
            <w:hideMark/>
          </w:tcPr>
          <w:p w14:paraId="1B0C4A3E" w14:textId="77777777" w:rsidR="00B30FDD" w:rsidRPr="00B30FDD" w:rsidRDefault="00B30FDD" w:rsidP="00B30FDD">
            <w:pPr>
              <w:jc w:val="center"/>
              <w:rPr>
                <w:rFonts w:ascii="Arial" w:hAnsi="Arial" w:cs="Arial"/>
                <w:noProof w:val="0"/>
                <w:szCs w:val="22"/>
                <w:lang w:val="en-GB" w:eastAsia="en-GB"/>
              </w:rPr>
            </w:pPr>
            <w:r w:rsidRPr="00B30FDD">
              <w:rPr>
                <w:rFonts w:ascii="Arial" w:hAnsi="Arial" w:cs="Arial"/>
                <w:noProof w:val="0"/>
                <w:szCs w:val="22"/>
                <w:lang w:val="en-GB" w:eastAsia="en-GB"/>
              </w:rPr>
              <w:t>247</w:t>
            </w:r>
          </w:p>
        </w:tc>
        <w:tc>
          <w:tcPr>
            <w:tcW w:w="3406" w:type="dxa"/>
            <w:tcBorders>
              <w:top w:val="nil"/>
              <w:left w:val="single" w:sz="4" w:space="0" w:color="auto"/>
              <w:bottom w:val="nil"/>
              <w:right w:val="single" w:sz="4" w:space="0" w:color="auto"/>
            </w:tcBorders>
            <w:shd w:val="clear" w:color="000000" w:fill="E3FFFF"/>
            <w:noWrap/>
            <w:vAlign w:val="bottom"/>
            <w:hideMark/>
          </w:tcPr>
          <w:p w14:paraId="4188E266" w14:textId="77777777" w:rsidR="00B30FDD" w:rsidRPr="00B30FDD" w:rsidRDefault="00B30FDD" w:rsidP="00B30FDD">
            <w:pPr>
              <w:rPr>
                <w:rFonts w:ascii="Arial" w:hAnsi="Arial" w:cs="Arial"/>
                <w:noProof w:val="0"/>
                <w:szCs w:val="22"/>
                <w:lang w:val="en-GB" w:eastAsia="en-GB"/>
              </w:rPr>
            </w:pPr>
            <w:proofErr w:type="spellStart"/>
            <w:r w:rsidRPr="00B30FDD">
              <w:rPr>
                <w:rFonts w:ascii="Arial" w:hAnsi="Arial" w:cs="Arial"/>
                <w:noProof w:val="0"/>
                <w:szCs w:val="22"/>
                <w:lang w:val="en-GB" w:eastAsia="en-GB"/>
              </w:rPr>
              <w:t>Naknade</w:t>
            </w:r>
            <w:proofErr w:type="spellEnd"/>
            <w:r w:rsidRPr="00B30FDD">
              <w:rPr>
                <w:rFonts w:ascii="Arial" w:hAnsi="Arial" w:cs="Arial"/>
                <w:noProof w:val="0"/>
                <w:szCs w:val="22"/>
                <w:lang w:val="en-GB" w:eastAsia="en-GB"/>
              </w:rPr>
              <w:t xml:space="preserve"> </w:t>
            </w:r>
            <w:proofErr w:type="spellStart"/>
            <w:r w:rsidRPr="00B30FDD">
              <w:rPr>
                <w:rFonts w:ascii="Arial" w:hAnsi="Arial" w:cs="Arial"/>
                <w:noProof w:val="0"/>
                <w:szCs w:val="22"/>
                <w:lang w:val="en-GB" w:eastAsia="en-GB"/>
              </w:rPr>
              <w:t>građanima</w:t>
            </w:r>
            <w:proofErr w:type="spellEnd"/>
            <w:r w:rsidRPr="00B30FDD">
              <w:rPr>
                <w:rFonts w:ascii="Arial" w:hAnsi="Arial" w:cs="Arial"/>
                <w:noProof w:val="0"/>
                <w:szCs w:val="22"/>
                <w:lang w:val="en-GB" w:eastAsia="en-GB"/>
              </w:rPr>
              <w:t xml:space="preserve"> </w:t>
            </w:r>
            <w:proofErr w:type="spellStart"/>
            <w:r w:rsidRPr="00B30FDD">
              <w:rPr>
                <w:rFonts w:ascii="Arial" w:hAnsi="Arial" w:cs="Arial"/>
                <w:noProof w:val="0"/>
                <w:szCs w:val="22"/>
                <w:lang w:val="en-GB" w:eastAsia="en-GB"/>
              </w:rPr>
              <w:t>i</w:t>
            </w:r>
            <w:proofErr w:type="spellEnd"/>
            <w:r w:rsidRPr="00B30FDD">
              <w:rPr>
                <w:rFonts w:ascii="Arial" w:hAnsi="Arial" w:cs="Arial"/>
                <w:noProof w:val="0"/>
                <w:szCs w:val="22"/>
                <w:lang w:val="en-GB" w:eastAsia="en-GB"/>
              </w:rPr>
              <w:t xml:space="preserve"> </w:t>
            </w:r>
            <w:proofErr w:type="spellStart"/>
            <w:r w:rsidRPr="00B30FDD">
              <w:rPr>
                <w:rFonts w:ascii="Arial" w:hAnsi="Arial" w:cs="Arial"/>
                <w:noProof w:val="0"/>
                <w:szCs w:val="22"/>
                <w:lang w:val="en-GB" w:eastAsia="en-GB"/>
              </w:rPr>
              <w:t>kućanstvima</w:t>
            </w:r>
            <w:proofErr w:type="spellEnd"/>
          </w:p>
        </w:tc>
        <w:tc>
          <w:tcPr>
            <w:tcW w:w="1800" w:type="dxa"/>
            <w:tcBorders>
              <w:top w:val="nil"/>
              <w:left w:val="nil"/>
              <w:bottom w:val="nil"/>
              <w:right w:val="single" w:sz="4" w:space="0" w:color="auto"/>
            </w:tcBorders>
            <w:shd w:val="clear" w:color="auto" w:fill="auto"/>
            <w:noWrap/>
            <w:vAlign w:val="bottom"/>
            <w:hideMark/>
          </w:tcPr>
          <w:p w14:paraId="3B622D89" w14:textId="77777777" w:rsidR="00B30FDD" w:rsidRPr="00B30FDD" w:rsidRDefault="00B30FDD" w:rsidP="00B30FDD">
            <w:pPr>
              <w:jc w:val="right"/>
              <w:rPr>
                <w:rFonts w:ascii="Arial" w:hAnsi="Arial" w:cs="Arial"/>
                <w:noProof w:val="0"/>
                <w:szCs w:val="22"/>
                <w:lang w:val="en-GB" w:eastAsia="en-GB"/>
              </w:rPr>
            </w:pPr>
            <w:r w:rsidRPr="00B30FDD">
              <w:rPr>
                <w:rFonts w:ascii="Arial" w:hAnsi="Arial" w:cs="Arial"/>
                <w:noProof w:val="0"/>
                <w:szCs w:val="22"/>
                <w:lang w:val="en-GB" w:eastAsia="en-GB"/>
              </w:rPr>
              <w:t>0</w:t>
            </w:r>
          </w:p>
        </w:tc>
        <w:tc>
          <w:tcPr>
            <w:tcW w:w="1840" w:type="dxa"/>
            <w:tcBorders>
              <w:top w:val="nil"/>
              <w:left w:val="nil"/>
              <w:bottom w:val="nil"/>
              <w:right w:val="single" w:sz="4" w:space="0" w:color="auto"/>
            </w:tcBorders>
            <w:shd w:val="clear" w:color="auto" w:fill="auto"/>
            <w:noWrap/>
            <w:vAlign w:val="bottom"/>
            <w:hideMark/>
          </w:tcPr>
          <w:p w14:paraId="4079A960" w14:textId="77777777" w:rsidR="00B30FDD" w:rsidRPr="00B30FDD" w:rsidRDefault="00B30FDD" w:rsidP="00B30FDD">
            <w:pPr>
              <w:jc w:val="right"/>
              <w:rPr>
                <w:rFonts w:ascii="Arial" w:hAnsi="Arial" w:cs="Arial"/>
                <w:noProof w:val="0"/>
                <w:szCs w:val="22"/>
                <w:lang w:val="en-GB" w:eastAsia="en-GB"/>
              </w:rPr>
            </w:pPr>
            <w:r w:rsidRPr="00B30FDD">
              <w:rPr>
                <w:rFonts w:ascii="Arial" w:hAnsi="Arial" w:cs="Arial"/>
                <w:noProof w:val="0"/>
                <w:szCs w:val="22"/>
                <w:lang w:val="en-GB" w:eastAsia="en-GB"/>
              </w:rPr>
              <w:t>10.800</w:t>
            </w:r>
          </w:p>
        </w:tc>
        <w:tc>
          <w:tcPr>
            <w:tcW w:w="1300" w:type="dxa"/>
            <w:tcBorders>
              <w:top w:val="nil"/>
              <w:left w:val="nil"/>
              <w:bottom w:val="nil"/>
              <w:right w:val="single" w:sz="8" w:space="0" w:color="auto"/>
            </w:tcBorders>
            <w:shd w:val="clear" w:color="auto" w:fill="auto"/>
            <w:noWrap/>
            <w:vAlign w:val="center"/>
            <w:hideMark/>
          </w:tcPr>
          <w:p w14:paraId="1663A217" w14:textId="77777777" w:rsidR="00B30FDD" w:rsidRPr="00B30FDD" w:rsidRDefault="00B30FDD" w:rsidP="00B30FDD">
            <w:pPr>
              <w:jc w:val="center"/>
              <w:rPr>
                <w:rFonts w:ascii="Arial" w:hAnsi="Arial" w:cs="Arial"/>
                <w:noProof w:val="0"/>
                <w:szCs w:val="22"/>
                <w:lang w:val="en-GB" w:eastAsia="en-GB"/>
              </w:rPr>
            </w:pPr>
            <w:r w:rsidRPr="00B30FDD">
              <w:rPr>
                <w:rFonts w:ascii="Arial" w:hAnsi="Arial" w:cs="Arial"/>
                <w:noProof w:val="0"/>
                <w:szCs w:val="22"/>
                <w:lang w:val="en-GB" w:eastAsia="en-GB"/>
              </w:rPr>
              <w:t> </w:t>
            </w:r>
          </w:p>
        </w:tc>
      </w:tr>
      <w:tr w:rsidR="00B30FDD" w:rsidRPr="00B30FDD" w14:paraId="10D24B09" w14:textId="77777777" w:rsidTr="00B30FDD">
        <w:trPr>
          <w:trHeight w:val="300"/>
        </w:trPr>
        <w:tc>
          <w:tcPr>
            <w:tcW w:w="700" w:type="dxa"/>
            <w:tcBorders>
              <w:top w:val="nil"/>
              <w:left w:val="single" w:sz="8" w:space="0" w:color="auto"/>
              <w:bottom w:val="nil"/>
              <w:right w:val="nil"/>
            </w:tcBorders>
            <w:shd w:val="clear" w:color="000000" w:fill="E3FFFF"/>
            <w:noWrap/>
            <w:vAlign w:val="bottom"/>
            <w:hideMark/>
          </w:tcPr>
          <w:p w14:paraId="5A5BB202" w14:textId="77777777" w:rsidR="00B30FDD" w:rsidRPr="00B30FDD" w:rsidRDefault="00B30FDD" w:rsidP="00B30FDD">
            <w:pPr>
              <w:jc w:val="center"/>
              <w:rPr>
                <w:rFonts w:ascii="Arial" w:hAnsi="Arial" w:cs="Arial"/>
                <w:noProof w:val="0"/>
                <w:szCs w:val="22"/>
                <w:lang w:val="en-GB" w:eastAsia="en-GB"/>
              </w:rPr>
            </w:pPr>
            <w:r w:rsidRPr="00B30FDD">
              <w:rPr>
                <w:rFonts w:ascii="Arial" w:hAnsi="Arial" w:cs="Arial"/>
                <w:noProof w:val="0"/>
                <w:szCs w:val="22"/>
                <w:lang w:val="en-GB" w:eastAsia="en-GB"/>
              </w:rPr>
              <w:t>258</w:t>
            </w:r>
          </w:p>
        </w:tc>
        <w:tc>
          <w:tcPr>
            <w:tcW w:w="3406" w:type="dxa"/>
            <w:tcBorders>
              <w:top w:val="nil"/>
              <w:left w:val="single" w:sz="4" w:space="0" w:color="auto"/>
              <w:bottom w:val="nil"/>
              <w:right w:val="single" w:sz="4" w:space="0" w:color="auto"/>
            </w:tcBorders>
            <w:shd w:val="clear" w:color="000000" w:fill="E3FFFF"/>
            <w:noWrap/>
            <w:vAlign w:val="bottom"/>
            <w:hideMark/>
          </w:tcPr>
          <w:p w14:paraId="0AC8ED31" w14:textId="77777777" w:rsidR="00B30FDD" w:rsidRPr="00B30FDD" w:rsidRDefault="00B30FDD" w:rsidP="00B30FDD">
            <w:pPr>
              <w:rPr>
                <w:rFonts w:ascii="Arial" w:hAnsi="Arial" w:cs="Arial"/>
                <w:noProof w:val="0"/>
                <w:szCs w:val="22"/>
                <w:lang w:val="en-GB" w:eastAsia="en-GB"/>
              </w:rPr>
            </w:pPr>
            <w:proofErr w:type="spellStart"/>
            <w:r w:rsidRPr="00B30FDD">
              <w:rPr>
                <w:rFonts w:ascii="Arial" w:hAnsi="Arial" w:cs="Arial"/>
                <w:noProof w:val="0"/>
                <w:szCs w:val="22"/>
                <w:lang w:val="en-GB" w:eastAsia="en-GB"/>
              </w:rPr>
              <w:t>Ostali</w:t>
            </w:r>
            <w:proofErr w:type="spellEnd"/>
            <w:r w:rsidRPr="00B30FDD">
              <w:rPr>
                <w:rFonts w:ascii="Arial" w:hAnsi="Arial" w:cs="Arial"/>
                <w:noProof w:val="0"/>
                <w:szCs w:val="22"/>
                <w:lang w:val="en-GB" w:eastAsia="en-GB"/>
              </w:rPr>
              <w:t xml:space="preserve"> </w:t>
            </w:r>
            <w:proofErr w:type="spellStart"/>
            <w:r w:rsidRPr="00B30FDD">
              <w:rPr>
                <w:rFonts w:ascii="Arial" w:hAnsi="Arial" w:cs="Arial"/>
                <w:noProof w:val="0"/>
                <w:szCs w:val="22"/>
                <w:lang w:val="en-GB" w:eastAsia="en-GB"/>
              </w:rPr>
              <w:t>rashodi</w:t>
            </w:r>
            <w:proofErr w:type="spellEnd"/>
          </w:p>
        </w:tc>
        <w:tc>
          <w:tcPr>
            <w:tcW w:w="1800" w:type="dxa"/>
            <w:tcBorders>
              <w:top w:val="nil"/>
              <w:left w:val="nil"/>
              <w:bottom w:val="double" w:sz="6" w:space="0" w:color="auto"/>
              <w:right w:val="single" w:sz="4" w:space="0" w:color="auto"/>
            </w:tcBorders>
            <w:shd w:val="clear" w:color="auto" w:fill="auto"/>
            <w:noWrap/>
            <w:vAlign w:val="bottom"/>
            <w:hideMark/>
          </w:tcPr>
          <w:p w14:paraId="59402AF2" w14:textId="77777777" w:rsidR="00B30FDD" w:rsidRPr="00B30FDD" w:rsidRDefault="00B30FDD" w:rsidP="00B30FDD">
            <w:pPr>
              <w:jc w:val="right"/>
              <w:rPr>
                <w:rFonts w:ascii="Arial" w:hAnsi="Arial" w:cs="Arial"/>
                <w:noProof w:val="0"/>
                <w:szCs w:val="22"/>
                <w:lang w:val="en-GB" w:eastAsia="en-GB"/>
              </w:rPr>
            </w:pPr>
            <w:r w:rsidRPr="00B30FDD">
              <w:rPr>
                <w:rFonts w:ascii="Arial" w:hAnsi="Arial" w:cs="Arial"/>
                <w:noProof w:val="0"/>
                <w:szCs w:val="22"/>
                <w:lang w:val="en-GB" w:eastAsia="en-GB"/>
              </w:rPr>
              <w:t>0</w:t>
            </w:r>
          </w:p>
        </w:tc>
        <w:tc>
          <w:tcPr>
            <w:tcW w:w="1840" w:type="dxa"/>
            <w:tcBorders>
              <w:top w:val="nil"/>
              <w:left w:val="nil"/>
              <w:bottom w:val="double" w:sz="6" w:space="0" w:color="auto"/>
              <w:right w:val="single" w:sz="4" w:space="0" w:color="auto"/>
            </w:tcBorders>
            <w:shd w:val="clear" w:color="auto" w:fill="auto"/>
            <w:noWrap/>
            <w:vAlign w:val="bottom"/>
            <w:hideMark/>
          </w:tcPr>
          <w:p w14:paraId="0DBC5DF5" w14:textId="77777777" w:rsidR="00B30FDD" w:rsidRPr="00B30FDD" w:rsidRDefault="00B30FDD" w:rsidP="00B30FDD">
            <w:pPr>
              <w:jc w:val="right"/>
              <w:rPr>
                <w:rFonts w:ascii="Arial" w:hAnsi="Arial" w:cs="Arial"/>
                <w:noProof w:val="0"/>
                <w:szCs w:val="22"/>
                <w:lang w:val="en-GB" w:eastAsia="en-GB"/>
              </w:rPr>
            </w:pPr>
            <w:r w:rsidRPr="00B30FDD">
              <w:rPr>
                <w:rFonts w:ascii="Arial" w:hAnsi="Arial" w:cs="Arial"/>
                <w:noProof w:val="0"/>
                <w:szCs w:val="22"/>
                <w:lang w:val="en-GB" w:eastAsia="en-GB"/>
              </w:rPr>
              <w:t>0</w:t>
            </w:r>
          </w:p>
        </w:tc>
        <w:tc>
          <w:tcPr>
            <w:tcW w:w="1300" w:type="dxa"/>
            <w:tcBorders>
              <w:top w:val="nil"/>
              <w:left w:val="nil"/>
              <w:bottom w:val="nil"/>
              <w:right w:val="single" w:sz="8" w:space="0" w:color="auto"/>
            </w:tcBorders>
            <w:shd w:val="clear" w:color="auto" w:fill="auto"/>
            <w:noWrap/>
            <w:vAlign w:val="center"/>
            <w:hideMark/>
          </w:tcPr>
          <w:p w14:paraId="0E6D43E4" w14:textId="77777777" w:rsidR="00B30FDD" w:rsidRPr="00B30FDD" w:rsidRDefault="00B30FDD" w:rsidP="00B30FDD">
            <w:pPr>
              <w:jc w:val="center"/>
              <w:rPr>
                <w:rFonts w:ascii="Arial" w:hAnsi="Arial" w:cs="Arial"/>
                <w:noProof w:val="0"/>
                <w:szCs w:val="22"/>
                <w:lang w:val="en-GB" w:eastAsia="en-GB"/>
              </w:rPr>
            </w:pPr>
            <w:r w:rsidRPr="00B30FDD">
              <w:rPr>
                <w:rFonts w:ascii="Arial" w:hAnsi="Arial" w:cs="Arial"/>
                <w:noProof w:val="0"/>
                <w:szCs w:val="22"/>
                <w:lang w:val="en-GB" w:eastAsia="en-GB"/>
              </w:rPr>
              <w:t> </w:t>
            </w:r>
          </w:p>
        </w:tc>
      </w:tr>
      <w:tr w:rsidR="00B30FDD" w:rsidRPr="00B30FDD" w14:paraId="544403BF" w14:textId="77777777" w:rsidTr="00B30FDD">
        <w:trPr>
          <w:trHeight w:val="405"/>
        </w:trPr>
        <w:tc>
          <w:tcPr>
            <w:tcW w:w="700" w:type="dxa"/>
            <w:tcBorders>
              <w:top w:val="double" w:sz="6" w:space="0" w:color="auto"/>
              <w:left w:val="single" w:sz="8" w:space="0" w:color="auto"/>
              <w:bottom w:val="single" w:sz="8" w:space="0" w:color="auto"/>
              <w:right w:val="nil"/>
            </w:tcBorders>
            <w:shd w:val="clear" w:color="000000" w:fill="E3FFFF"/>
            <w:noWrap/>
            <w:vAlign w:val="bottom"/>
            <w:hideMark/>
          </w:tcPr>
          <w:p w14:paraId="6E955D80" w14:textId="77777777" w:rsidR="00B30FDD" w:rsidRPr="00B30FDD" w:rsidRDefault="00B30FDD" w:rsidP="00B30FDD">
            <w:pPr>
              <w:jc w:val="center"/>
              <w:rPr>
                <w:rFonts w:ascii="Arial" w:hAnsi="Arial" w:cs="Arial"/>
                <w:noProof w:val="0"/>
                <w:szCs w:val="22"/>
                <w:lang w:val="en-GB" w:eastAsia="en-GB"/>
              </w:rPr>
            </w:pPr>
            <w:r w:rsidRPr="00B30FDD">
              <w:rPr>
                <w:rFonts w:ascii="Arial" w:hAnsi="Arial" w:cs="Arial"/>
                <w:noProof w:val="0"/>
                <w:szCs w:val="22"/>
                <w:lang w:val="en-GB" w:eastAsia="en-GB"/>
              </w:rPr>
              <w:t>148</w:t>
            </w:r>
          </w:p>
        </w:tc>
        <w:tc>
          <w:tcPr>
            <w:tcW w:w="3406" w:type="dxa"/>
            <w:tcBorders>
              <w:top w:val="double" w:sz="6" w:space="0" w:color="auto"/>
              <w:left w:val="single" w:sz="4" w:space="0" w:color="auto"/>
              <w:bottom w:val="single" w:sz="8" w:space="0" w:color="auto"/>
              <w:right w:val="single" w:sz="4" w:space="0" w:color="auto"/>
            </w:tcBorders>
            <w:shd w:val="clear" w:color="000000" w:fill="E3FFFF"/>
            <w:noWrap/>
            <w:vAlign w:val="bottom"/>
            <w:hideMark/>
          </w:tcPr>
          <w:p w14:paraId="7330F168" w14:textId="77777777" w:rsidR="00B30FDD" w:rsidRPr="00B30FDD" w:rsidRDefault="00B30FDD" w:rsidP="00B30FDD">
            <w:pPr>
              <w:rPr>
                <w:rFonts w:ascii="Arial" w:hAnsi="Arial" w:cs="Arial"/>
                <w:b/>
                <w:bCs/>
                <w:noProof w:val="0"/>
                <w:szCs w:val="22"/>
                <w:lang w:val="en-GB" w:eastAsia="en-GB"/>
              </w:rPr>
            </w:pPr>
            <w:proofErr w:type="spellStart"/>
            <w:r w:rsidRPr="00B30FDD">
              <w:rPr>
                <w:rFonts w:ascii="Arial" w:hAnsi="Arial" w:cs="Arial"/>
                <w:b/>
                <w:bCs/>
                <w:noProof w:val="0"/>
                <w:szCs w:val="22"/>
                <w:lang w:val="en-GB" w:eastAsia="en-GB"/>
              </w:rPr>
              <w:t>Ukupno</w:t>
            </w:r>
            <w:proofErr w:type="spellEnd"/>
          </w:p>
        </w:tc>
        <w:tc>
          <w:tcPr>
            <w:tcW w:w="1800" w:type="dxa"/>
            <w:tcBorders>
              <w:top w:val="nil"/>
              <w:left w:val="nil"/>
              <w:bottom w:val="single" w:sz="8" w:space="0" w:color="auto"/>
              <w:right w:val="single" w:sz="4" w:space="0" w:color="auto"/>
            </w:tcBorders>
            <w:shd w:val="clear" w:color="000000" w:fill="E3FFFF"/>
            <w:noWrap/>
            <w:vAlign w:val="bottom"/>
            <w:hideMark/>
          </w:tcPr>
          <w:p w14:paraId="37AA1100" w14:textId="77777777" w:rsidR="00B30FDD" w:rsidRPr="00B30FDD" w:rsidRDefault="00B30FDD" w:rsidP="00B30FDD">
            <w:pPr>
              <w:jc w:val="right"/>
              <w:rPr>
                <w:rFonts w:ascii="Arial" w:hAnsi="Arial" w:cs="Arial"/>
                <w:b/>
                <w:bCs/>
                <w:noProof w:val="0"/>
                <w:szCs w:val="22"/>
                <w:lang w:val="en-GB" w:eastAsia="en-GB"/>
              </w:rPr>
            </w:pPr>
            <w:r w:rsidRPr="00B30FDD">
              <w:rPr>
                <w:rFonts w:ascii="Arial" w:hAnsi="Arial" w:cs="Arial"/>
                <w:b/>
                <w:bCs/>
                <w:noProof w:val="0"/>
                <w:szCs w:val="22"/>
                <w:lang w:val="en-GB" w:eastAsia="en-GB"/>
              </w:rPr>
              <w:t>48.279.774</w:t>
            </w:r>
          </w:p>
        </w:tc>
        <w:tc>
          <w:tcPr>
            <w:tcW w:w="1840" w:type="dxa"/>
            <w:tcBorders>
              <w:top w:val="nil"/>
              <w:left w:val="nil"/>
              <w:bottom w:val="single" w:sz="8" w:space="0" w:color="auto"/>
              <w:right w:val="single" w:sz="4" w:space="0" w:color="auto"/>
            </w:tcBorders>
            <w:shd w:val="clear" w:color="000000" w:fill="E3FFFF"/>
            <w:noWrap/>
            <w:vAlign w:val="bottom"/>
            <w:hideMark/>
          </w:tcPr>
          <w:p w14:paraId="125B0E56" w14:textId="77777777" w:rsidR="00B30FDD" w:rsidRPr="00B30FDD" w:rsidRDefault="00B30FDD" w:rsidP="00B30FDD">
            <w:pPr>
              <w:jc w:val="right"/>
              <w:rPr>
                <w:rFonts w:ascii="Arial" w:hAnsi="Arial" w:cs="Arial"/>
                <w:b/>
                <w:bCs/>
                <w:noProof w:val="0"/>
                <w:szCs w:val="22"/>
                <w:lang w:val="en-GB" w:eastAsia="en-GB"/>
              </w:rPr>
            </w:pPr>
            <w:r w:rsidRPr="00B30FDD">
              <w:rPr>
                <w:rFonts w:ascii="Arial" w:hAnsi="Arial" w:cs="Arial"/>
                <w:b/>
                <w:bCs/>
                <w:noProof w:val="0"/>
                <w:szCs w:val="22"/>
                <w:lang w:val="en-GB" w:eastAsia="en-GB"/>
              </w:rPr>
              <w:t>57.622.942</w:t>
            </w:r>
          </w:p>
        </w:tc>
        <w:tc>
          <w:tcPr>
            <w:tcW w:w="1300" w:type="dxa"/>
            <w:tcBorders>
              <w:top w:val="double" w:sz="6" w:space="0" w:color="auto"/>
              <w:left w:val="nil"/>
              <w:bottom w:val="single" w:sz="8" w:space="0" w:color="auto"/>
              <w:right w:val="single" w:sz="8" w:space="0" w:color="auto"/>
            </w:tcBorders>
            <w:shd w:val="clear" w:color="000000" w:fill="E3FFFF"/>
            <w:noWrap/>
            <w:vAlign w:val="bottom"/>
            <w:hideMark/>
          </w:tcPr>
          <w:p w14:paraId="4A41AAD8" w14:textId="77777777" w:rsidR="00B30FDD" w:rsidRPr="00B30FDD" w:rsidRDefault="00B30FDD" w:rsidP="00B30FDD">
            <w:pPr>
              <w:jc w:val="center"/>
              <w:rPr>
                <w:rFonts w:ascii="Arial" w:hAnsi="Arial" w:cs="Arial"/>
                <w:b/>
                <w:bCs/>
                <w:noProof w:val="0"/>
                <w:szCs w:val="22"/>
                <w:lang w:val="en-GB" w:eastAsia="en-GB"/>
              </w:rPr>
            </w:pPr>
            <w:r w:rsidRPr="00B30FDD">
              <w:rPr>
                <w:rFonts w:ascii="Arial" w:hAnsi="Arial" w:cs="Arial"/>
                <w:b/>
                <w:bCs/>
                <w:noProof w:val="0"/>
                <w:szCs w:val="22"/>
                <w:lang w:val="en-GB" w:eastAsia="en-GB"/>
              </w:rPr>
              <w:t>119,35</w:t>
            </w:r>
          </w:p>
        </w:tc>
      </w:tr>
    </w:tbl>
    <w:p w14:paraId="0FCBB552" w14:textId="13C24A64" w:rsidR="00347A12" w:rsidRPr="00437CA9" w:rsidRDefault="00347A12" w:rsidP="00347A12">
      <w:pPr>
        <w:jc w:val="both"/>
        <w:rPr>
          <w:rFonts w:ascii="TyponineSans Reg" w:hAnsi="TyponineSans Reg"/>
          <w:color w:val="FF0000"/>
          <w:szCs w:val="22"/>
        </w:rPr>
      </w:pPr>
    </w:p>
    <w:p w14:paraId="14F7CBFB" w14:textId="621372B0" w:rsidR="00347A12" w:rsidRPr="00A1592A" w:rsidRDefault="00347A12" w:rsidP="00347A12">
      <w:pPr>
        <w:jc w:val="both"/>
        <w:rPr>
          <w:rFonts w:ascii="TyponineSans Reg" w:hAnsi="TyponineSans Reg"/>
          <w:sz w:val="24"/>
          <w:szCs w:val="24"/>
        </w:rPr>
      </w:pPr>
      <w:r w:rsidRPr="00A1592A">
        <w:rPr>
          <w:rFonts w:ascii="TyponineSans Reg" w:hAnsi="TyponineSans Reg"/>
          <w:sz w:val="24"/>
          <w:szCs w:val="24"/>
        </w:rPr>
        <w:t xml:space="preserve"> </w:t>
      </w:r>
      <w:r w:rsidRPr="00A1592A">
        <w:rPr>
          <w:rFonts w:ascii="TyponineSans Reg" w:hAnsi="TyponineSans Reg"/>
          <w:b/>
          <w:sz w:val="24"/>
          <w:szCs w:val="24"/>
        </w:rPr>
        <w:t>AOP 14</w:t>
      </w:r>
      <w:r w:rsidR="00B30FDD" w:rsidRPr="00A1592A">
        <w:rPr>
          <w:rFonts w:ascii="TyponineSans Reg" w:hAnsi="TyponineSans Reg"/>
          <w:b/>
          <w:sz w:val="24"/>
          <w:szCs w:val="24"/>
        </w:rPr>
        <w:t>7</w:t>
      </w:r>
    </w:p>
    <w:p w14:paraId="015910B6" w14:textId="77777777" w:rsidR="00347A12" w:rsidRPr="00A1592A" w:rsidRDefault="00347A12" w:rsidP="00347A12">
      <w:pPr>
        <w:jc w:val="both"/>
        <w:rPr>
          <w:rFonts w:ascii="TyponineSans Reg" w:hAnsi="TyponineSans Reg"/>
          <w:b/>
          <w:sz w:val="24"/>
          <w:szCs w:val="24"/>
        </w:rPr>
      </w:pPr>
      <w:r w:rsidRPr="00A1592A">
        <w:rPr>
          <w:rFonts w:ascii="TyponineSans Reg" w:hAnsi="TyponineSans Reg"/>
          <w:b/>
          <w:sz w:val="24"/>
          <w:szCs w:val="24"/>
        </w:rPr>
        <w:t>Rashodi za zaposlene</w:t>
      </w:r>
    </w:p>
    <w:p w14:paraId="50E2D641" w14:textId="77777777" w:rsidR="00347A12" w:rsidRPr="00B30FDD" w:rsidRDefault="00347A12" w:rsidP="00347A12">
      <w:pPr>
        <w:jc w:val="both"/>
        <w:rPr>
          <w:rFonts w:ascii="TyponineSans Reg" w:hAnsi="TyponineSans Reg"/>
          <w:b/>
          <w:szCs w:val="22"/>
        </w:rPr>
      </w:pPr>
    </w:p>
    <w:p w14:paraId="2942680A" w14:textId="1751EEAB" w:rsidR="00347A12" w:rsidRPr="00B30FDD" w:rsidRDefault="00347A12" w:rsidP="00347A12">
      <w:pPr>
        <w:jc w:val="both"/>
        <w:rPr>
          <w:rFonts w:ascii="TyponineSans Reg" w:hAnsi="TyponineSans Reg"/>
          <w:szCs w:val="22"/>
        </w:rPr>
      </w:pPr>
      <w:r w:rsidRPr="00B30FDD">
        <w:rPr>
          <w:rFonts w:ascii="TyponineSans Reg" w:hAnsi="TyponineSans Reg"/>
          <w:szCs w:val="22"/>
        </w:rPr>
        <w:t>Rashodi za zaposlene ostvareni su u ukupnom iznosu od 2</w:t>
      </w:r>
      <w:r w:rsidR="00B30FDD" w:rsidRPr="00B30FDD">
        <w:rPr>
          <w:rFonts w:ascii="TyponineSans Reg" w:hAnsi="TyponineSans Reg"/>
          <w:szCs w:val="22"/>
        </w:rPr>
        <w:t>7.488.278</w:t>
      </w:r>
      <w:r w:rsidRPr="00B30FDD">
        <w:rPr>
          <w:rFonts w:ascii="TyponineSans Reg" w:hAnsi="TyponineSans Reg"/>
          <w:szCs w:val="22"/>
        </w:rPr>
        <w:t xml:space="preserve"> kn i   odnose se na:</w:t>
      </w:r>
    </w:p>
    <w:p w14:paraId="739E0033" w14:textId="533E41A0" w:rsidR="00347A12" w:rsidRPr="00B30FDD" w:rsidRDefault="00347A12" w:rsidP="00347A12">
      <w:pPr>
        <w:numPr>
          <w:ilvl w:val="0"/>
          <w:numId w:val="11"/>
        </w:numPr>
        <w:jc w:val="both"/>
        <w:rPr>
          <w:rFonts w:ascii="TyponineSans Reg" w:hAnsi="TyponineSans Reg"/>
          <w:szCs w:val="22"/>
        </w:rPr>
      </w:pPr>
      <w:r w:rsidRPr="00B30FDD">
        <w:rPr>
          <w:rFonts w:ascii="TyponineSans Reg" w:hAnsi="TyponineSans Reg"/>
          <w:szCs w:val="22"/>
        </w:rPr>
        <w:t xml:space="preserve">Isplaćene plaće za redovan rad u iznosu od </w:t>
      </w:r>
      <w:r w:rsidR="00B30FDD" w:rsidRPr="00B30FDD">
        <w:rPr>
          <w:rFonts w:ascii="TyponineSans Reg" w:hAnsi="TyponineSans Reg"/>
          <w:szCs w:val="22"/>
        </w:rPr>
        <w:t>21.387.595</w:t>
      </w:r>
      <w:r w:rsidRPr="00B30FDD">
        <w:rPr>
          <w:rFonts w:ascii="TyponineSans Reg" w:hAnsi="TyponineSans Reg"/>
          <w:szCs w:val="22"/>
        </w:rPr>
        <w:t xml:space="preserve"> kn</w:t>
      </w:r>
    </w:p>
    <w:p w14:paraId="0F7AAA0E" w14:textId="27545855" w:rsidR="00347A12" w:rsidRPr="00B30FDD" w:rsidRDefault="00347A12" w:rsidP="00347A12">
      <w:pPr>
        <w:numPr>
          <w:ilvl w:val="0"/>
          <w:numId w:val="11"/>
        </w:numPr>
        <w:jc w:val="both"/>
        <w:rPr>
          <w:rFonts w:ascii="TyponineSans Reg" w:hAnsi="TyponineSans Reg"/>
          <w:szCs w:val="22"/>
        </w:rPr>
      </w:pPr>
      <w:r w:rsidRPr="00B30FDD">
        <w:rPr>
          <w:rFonts w:ascii="TyponineSans Reg" w:hAnsi="TyponineSans Reg"/>
          <w:szCs w:val="22"/>
        </w:rPr>
        <w:t xml:space="preserve">Isplaćene plaće za prekovremeni rad u iznosu od </w:t>
      </w:r>
      <w:r w:rsidR="00B30FDD" w:rsidRPr="00B30FDD">
        <w:rPr>
          <w:rFonts w:ascii="TyponineSans Reg" w:hAnsi="TyponineSans Reg"/>
          <w:szCs w:val="22"/>
        </w:rPr>
        <w:t>442.636</w:t>
      </w:r>
      <w:r w:rsidRPr="00B30FDD">
        <w:rPr>
          <w:rFonts w:ascii="TyponineSans Reg" w:hAnsi="TyponineSans Reg"/>
          <w:szCs w:val="22"/>
        </w:rPr>
        <w:t xml:space="preserve"> kn  </w:t>
      </w:r>
    </w:p>
    <w:p w14:paraId="6FDA8292" w14:textId="3963D4DC" w:rsidR="00347A12" w:rsidRPr="00B30FDD" w:rsidRDefault="00347A12" w:rsidP="00347A12">
      <w:pPr>
        <w:numPr>
          <w:ilvl w:val="0"/>
          <w:numId w:val="11"/>
        </w:numPr>
        <w:jc w:val="both"/>
        <w:rPr>
          <w:rFonts w:ascii="TyponineSans Reg" w:hAnsi="TyponineSans Reg"/>
          <w:szCs w:val="22"/>
        </w:rPr>
      </w:pPr>
      <w:r w:rsidRPr="00B30FDD">
        <w:rPr>
          <w:rFonts w:ascii="TyponineSans Reg" w:hAnsi="TyponineSans Reg"/>
          <w:szCs w:val="22"/>
        </w:rPr>
        <w:t xml:space="preserve">Ostale rashode za zaposlene u iznosu od </w:t>
      </w:r>
      <w:r w:rsidR="00B30FDD" w:rsidRPr="00B30FDD">
        <w:rPr>
          <w:rFonts w:ascii="TyponineSans Reg" w:hAnsi="TyponineSans Reg"/>
          <w:szCs w:val="22"/>
        </w:rPr>
        <w:t>2.093.793</w:t>
      </w:r>
      <w:r w:rsidRPr="00B30FDD">
        <w:rPr>
          <w:rFonts w:ascii="TyponineSans Reg" w:hAnsi="TyponineSans Reg"/>
          <w:szCs w:val="22"/>
        </w:rPr>
        <w:t xml:space="preserve"> kn</w:t>
      </w:r>
    </w:p>
    <w:p w14:paraId="2CD010AE" w14:textId="37B60F08" w:rsidR="00347A12" w:rsidRPr="00B30FDD" w:rsidRDefault="00347A12" w:rsidP="00347A12">
      <w:pPr>
        <w:numPr>
          <w:ilvl w:val="0"/>
          <w:numId w:val="11"/>
        </w:numPr>
        <w:jc w:val="both"/>
        <w:rPr>
          <w:rFonts w:ascii="TyponineSans Reg" w:hAnsi="TyponineSans Reg"/>
          <w:szCs w:val="22"/>
        </w:rPr>
      </w:pPr>
      <w:r w:rsidRPr="00B30FDD">
        <w:rPr>
          <w:rFonts w:ascii="TyponineSans Reg" w:hAnsi="TyponineSans Reg"/>
          <w:szCs w:val="22"/>
        </w:rPr>
        <w:t>Ukupno isplaćene doprinose u iznosu od 3.</w:t>
      </w:r>
      <w:r w:rsidR="00B30FDD" w:rsidRPr="00B30FDD">
        <w:rPr>
          <w:rFonts w:ascii="TyponineSans Reg" w:hAnsi="TyponineSans Reg"/>
          <w:szCs w:val="22"/>
        </w:rPr>
        <w:t>564.253</w:t>
      </w:r>
      <w:r w:rsidRPr="00B30FDD">
        <w:rPr>
          <w:rFonts w:ascii="TyponineSans Reg" w:hAnsi="TyponineSans Reg"/>
          <w:szCs w:val="22"/>
        </w:rPr>
        <w:t xml:space="preserve"> kn</w:t>
      </w:r>
    </w:p>
    <w:p w14:paraId="451C9D95" w14:textId="77777777" w:rsidR="00347A12" w:rsidRPr="00B30FDD" w:rsidRDefault="00347A12" w:rsidP="00347A12">
      <w:pPr>
        <w:ind w:left="720"/>
        <w:jc w:val="both"/>
        <w:rPr>
          <w:rFonts w:ascii="TyponineSans Reg" w:hAnsi="TyponineSans Reg"/>
          <w:szCs w:val="22"/>
        </w:rPr>
      </w:pPr>
    </w:p>
    <w:p w14:paraId="75D623B5" w14:textId="1F13C755" w:rsidR="00347A12" w:rsidRPr="00B30FDD" w:rsidRDefault="00347A12" w:rsidP="00347A12">
      <w:pPr>
        <w:jc w:val="both"/>
        <w:rPr>
          <w:rFonts w:ascii="TyponineSans Reg" w:hAnsi="TyponineSans Reg"/>
          <w:b/>
          <w:szCs w:val="22"/>
        </w:rPr>
      </w:pPr>
      <w:r w:rsidRPr="00B30FDD">
        <w:rPr>
          <w:rFonts w:ascii="TyponineSans Reg" w:hAnsi="TyponineSans Reg"/>
          <w:szCs w:val="22"/>
        </w:rPr>
        <w:t xml:space="preserve">Ukupno ostvareni rashodi za zaposlene manji su za </w:t>
      </w:r>
      <w:r w:rsidR="00B30FDD" w:rsidRPr="00B30FDD">
        <w:rPr>
          <w:rFonts w:ascii="TyponineSans Reg" w:hAnsi="TyponineSans Reg"/>
          <w:szCs w:val="22"/>
        </w:rPr>
        <w:t>2,86</w:t>
      </w:r>
      <w:r w:rsidRPr="00B30FDD">
        <w:rPr>
          <w:rFonts w:ascii="TyponineSans Reg" w:hAnsi="TyponineSans Reg"/>
          <w:szCs w:val="22"/>
        </w:rPr>
        <w:t xml:space="preserve">1% u odnosu na isto razdoblje prethodne godine. </w:t>
      </w:r>
      <w:r w:rsidR="00B30FDD" w:rsidRPr="00B30FDD">
        <w:rPr>
          <w:rFonts w:ascii="TyponineSans Reg" w:hAnsi="TyponineSans Reg"/>
          <w:szCs w:val="22"/>
        </w:rPr>
        <w:t>Do povećanja plaća došlo je iz razloga povećanja broja zaposlenika tijekom turističke sezone u odnosu na 2020. poslovnu godinu.</w:t>
      </w:r>
    </w:p>
    <w:p w14:paraId="44349221" w14:textId="77777777" w:rsidR="00A1592A" w:rsidRDefault="00A1592A" w:rsidP="00347A12">
      <w:pPr>
        <w:jc w:val="both"/>
        <w:rPr>
          <w:rFonts w:ascii="TyponineSans Reg" w:hAnsi="TyponineSans Reg"/>
          <w:b/>
          <w:szCs w:val="22"/>
        </w:rPr>
      </w:pPr>
    </w:p>
    <w:p w14:paraId="00E9FA65" w14:textId="77777777" w:rsidR="006170D2" w:rsidRDefault="006170D2" w:rsidP="00347A12">
      <w:pPr>
        <w:jc w:val="both"/>
        <w:rPr>
          <w:rFonts w:ascii="TyponineSans Reg" w:hAnsi="TyponineSans Reg"/>
          <w:b/>
          <w:szCs w:val="22"/>
        </w:rPr>
      </w:pPr>
    </w:p>
    <w:p w14:paraId="136EB1F3" w14:textId="77777777" w:rsidR="006170D2" w:rsidRDefault="006170D2" w:rsidP="00347A12">
      <w:pPr>
        <w:jc w:val="both"/>
        <w:rPr>
          <w:rFonts w:ascii="TyponineSans Reg" w:hAnsi="TyponineSans Reg"/>
          <w:b/>
          <w:szCs w:val="22"/>
        </w:rPr>
      </w:pPr>
    </w:p>
    <w:p w14:paraId="513CC054" w14:textId="77777777" w:rsidR="006170D2" w:rsidRDefault="006170D2" w:rsidP="00347A12">
      <w:pPr>
        <w:jc w:val="both"/>
        <w:rPr>
          <w:rFonts w:ascii="TyponineSans Reg" w:hAnsi="TyponineSans Reg"/>
          <w:b/>
          <w:szCs w:val="22"/>
        </w:rPr>
      </w:pPr>
    </w:p>
    <w:p w14:paraId="1D1C6A35" w14:textId="18AD73B6" w:rsidR="00347A12" w:rsidRPr="00B30FDD" w:rsidRDefault="00347A12" w:rsidP="00347A12">
      <w:pPr>
        <w:jc w:val="both"/>
        <w:rPr>
          <w:rFonts w:ascii="TyponineSans Reg" w:hAnsi="TyponineSans Reg"/>
          <w:b/>
          <w:szCs w:val="22"/>
        </w:rPr>
      </w:pPr>
      <w:r w:rsidRPr="00B30FDD">
        <w:rPr>
          <w:rFonts w:ascii="TyponineSans Reg" w:hAnsi="TyponineSans Reg"/>
          <w:b/>
          <w:szCs w:val="22"/>
        </w:rPr>
        <w:lastRenderedPageBreak/>
        <w:t>AOP 1</w:t>
      </w:r>
      <w:r w:rsidR="00B30FDD" w:rsidRPr="00B30FDD">
        <w:rPr>
          <w:rFonts w:ascii="TyponineSans Reg" w:hAnsi="TyponineSans Reg"/>
          <w:b/>
          <w:szCs w:val="22"/>
        </w:rPr>
        <w:t>58</w:t>
      </w:r>
    </w:p>
    <w:p w14:paraId="66232B39" w14:textId="77777777" w:rsidR="00347A12" w:rsidRPr="00B30FDD" w:rsidRDefault="00347A12" w:rsidP="00347A12">
      <w:pPr>
        <w:jc w:val="both"/>
        <w:rPr>
          <w:rFonts w:ascii="TyponineSans Reg" w:hAnsi="TyponineSans Reg"/>
          <w:b/>
          <w:szCs w:val="22"/>
        </w:rPr>
      </w:pPr>
      <w:r w:rsidRPr="00B30FDD">
        <w:rPr>
          <w:rFonts w:ascii="TyponineSans Reg" w:hAnsi="TyponineSans Reg"/>
          <w:b/>
          <w:szCs w:val="22"/>
        </w:rPr>
        <w:t>Materijalni rashodi</w:t>
      </w:r>
    </w:p>
    <w:p w14:paraId="6E3E1DD8" w14:textId="77777777" w:rsidR="00347A12" w:rsidRPr="00B30FDD" w:rsidRDefault="00347A12" w:rsidP="00347A12">
      <w:pPr>
        <w:jc w:val="both"/>
        <w:rPr>
          <w:rFonts w:ascii="TyponineSans Reg" w:hAnsi="TyponineSans Reg"/>
          <w:b/>
          <w:szCs w:val="22"/>
        </w:rPr>
      </w:pPr>
    </w:p>
    <w:p w14:paraId="600BD623" w14:textId="06BE690D" w:rsidR="00347A12" w:rsidRPr="00B30FDD" w:rsidRDefault="00347A12" w:rsidP="00347A12">
      <w:pPr>
        <w:jc w:val="both"/>
        <w:rPr>
          <w:rFonts w:ascii="TyponineSans Reg" w:hAnsi="TyponineSans Reg"/>
          <w:szCs w:val="22"/>
        </w:rPr>
      </w:pPr>
      <w:r w:rsidRPr="00B30FDD">
        <w:rPr>
          <w:rFonts w:ascii="TyponineSans Reg" w:hAnsi="TyponineSans Reg"/>
          <w:szCs w:val="22"/>
        </w:rPr>
        <w:t>U strukturi ostvarenih materijalnih rashoda od 2</w:t>
      </w:r>
      <w:r w:rsidR="00B30FDD" w:rsidRPr="00B30FDD">
        <w:rPr>
          <w:rFonts w:ascii="TyponineSans Reg" w:hAnsi="TyponineSans Reg"/>
          <w:szCs w:val="22"/>
        </w:rPr>
        <w:t>9.441.658</w:t>
      </w:r>
      <w:r w:rsidRPr="00B30FDD">
        <w:rPr>
          <w:rFonts w:ascii="TyponineSans Reg" w:hAnsi="TyponineSans Reg"/>
          <w:szCs w:val="22"/>
        </w:rPr>
        <w:t xml:space="preserve"> kn evidentirane su slijedeće skupine troškova:</w:t>
      </w:r>
    </w:p>
    <w:p w14:paraId="66C8D4F7" w14:textId="16A2FAB5" w:rsidR="000456CF" w:rsidRPr="000456CF" w:rsidRDefault="00347A12" w:rsidP="00162E37">
      <w:pPr>
        <w:numPr>
          <w:ilvl w:val="0"/>
          <w:numId w:val="12"/>
        </w:numPr>
        <w:jc w:val="both"/>
        <w:rPr>
          <w:rFonts w:ascii="TyponineSans Reg" w:hAnsi="TyponineSans Reg"/>
          <w:szCs w:val="22"/>
        </w:rPr>
      </w:pPr>
      <w:r w:rsidRPr="000456CF">
        <w:rPr>
          <w:rFonts w:ascii="TyponineSans Reg" w:hAnsi="TyponineSans Reg"/>
          <w:szCs w:val="22"/>
        </w:rPr>
        <w:t>Naknade troškova zaposlenima u iznosu od 1.</w:t>
      </w:r>
      <w:r w:rsidR="00B30FDD" w:rsidRPr="000456CF">
        <w:rPr>
          <w:rFonts w:ascii="TyponineSans Reg" w:hAnsi="TyponineSans Reg"/>
          <w:szCs w:val="22"/>
        </w:rPr>
        <w:t>435.388</w:t>
      </w:r>
      <w:r w:rsidRPr="000456CF">
        <w:rPr>
          <w:rFonts w:ascii="TyponineSans Reg" w:hAnsi="TyponineSans Reg"/>
          <w:szCs w:val="22"/>
        </w:rPr>
        <w:t xml:space="preserve"> kn koje su </w:t>
      </w:r>
      <w:r w:rsidR="00B77CDF" w:rsidRPr="000456CF">
        <w:rPr>
          <w:rFonts w:ascii="TyponineSans Reg" w:hAnsi="TyponineSans Reg"/>
          <w:szCs w:val="22"/>
        </w:rPr>
        <w:t xml:space="preserve">veće </w:t>
      </w:r>
      <w:r w:rsidRPr="000456CF">
        <w:rPr>
          <w:rFonts w:ascii="TyponineSans Reg" w:hAnsi="TyponineSans Reg"/>
          <w:szCs w:val="22"/>
        </w:rPr>
        <w:t xml:space="preserve">za </w:t>
      </w:r>
      <w:r w:rsidR="006C7E4A" w:rsidRPr="000456CF">
        <w:rPr>
          <w:rFonts w:ascii="TyponineSans Reg" w:hAnsi="TyponineSans Reg"/>
          <w:szCs w:val="22"/>
        </w:rPr>
        <w:t>33,</w:t>
      </w:r>
      <w:r w:rsidR="00B77CDF" w:rsidRPr="000456CF">
        <w:rPr>
          <w:rFonts w:ascii="TyponineSans Reg" w:hAnsi="TyponineSans Reg"/>
          <w:szCs w:val="22"/>
        </w:rPr>
        <w:t>32</w:t>
      </w:r>
      <w:r w:rsidRPr="000456CF">
        <w:rPr>
          <w:rFonts w:ascii="TyponineSans Reg" w:hAnsi="TyponineSans Reg"/>
          <w:szCs w:val="22"/>
        </w:rPr>
        <w:t xml:space="preserve">% u odnosu na ostvarenje prošle godine i </w:t>
      </w:r>
      <w:r w:rsidR="00B77CDF" w:rsidRPr="000456CF">
        <w:rPr>
          <w:rFonts w:ascii="TyponineSans Reg" w:hAnsi="TyponineSans Reg"/>
          <w:szCs w:val="22"/>
        </w:rPr>
        <w:t>0,38</w:t>
      </w:r>
      <w:r w:rsidRPr="000456CF">
        <w:rPr>
          <w:rFonts w:ascii="TyponineSans Reg" w:hAnsi="TyponineSans Reg"/>
          <w:szCs w:val="22"/>
        </w:rPr>
        <w:t xml:space="preserve">%, </w:t>
      </w:r>
      <w:r w:rsidR="00B77CDF" w:rsidRPr="000456CF">
        <w:rPr>
          <w:rFonts w:ascii="TyponineSans Reg" w:hAnsi="TyponineSans Reg"/>
          <w:szCs w:val="22"/>
        </w:rPr>
        <w:t>više</w:t>
      </w:r>
      <w:r w:rsidRPr="000456CF">
        <w:rPr>
          <w:rFonts w:ascii="TyponineSans Reg" w:hAnsi="TyponineSans Reg"/>
          <w:szCs w:val="22"/>
        </w:rPr>
        <w:t xml:space="preserve"> u odnosu na plan. </w:t>
      </w:r>
      <w:r w:rsidR="00CC5B24" w:rsidRPr="000456CF">
        <w:rPr>
          <w:rFonts w:ascii="TyponineSans Reg" w:hAnsi="TyponineSans Reg"/>
          <w:szCs w:val="22"/>
        </w:rPr>
        <w:t xml:space="preserve">Naknade troškova zaposlenima čine </w:t>
      </w:r>
      <w:r w:rsidR="000456CF" w:rsidRPr="000456CF">
        <w:rPr>
          <w:rFonts w:ascii="TyponineSans Reg" w:hAnsi="TyponineSans Reg"/>
          <w:szCs w:val="22"/>
        </w:rPr>
        <w:t>troškovi za službena putovanja u iznosu od 163,901 kn, naknade za prijevoz u iznosu od 1.035.,458 kn, stručno usavršavanje zaposlenika u iznosu od 235.060 kn, te ostale naiknade u iznosu od 969 kn.</w:t>
      </w:r>
    </w:p>
    <w:p w14:paraId="72318460" w14:textId="0458535E" w:rsidR="00347A12" w:rsidRPr="00B30FDD" w:rsidRDefault="00347A12" w:rsidP="00347A12">
      <w:pPr>
        <w:numPr>
          <w:ilvl w:val="0"/>
          <w:numId w:val="12"/>
        </w:numPr>
        <w:jc w:val="both"/>
        <w:rPr>
          <w:rFonts w:ascii="TyponineSans Reg" w:hAnsi="TyponineSans Reg"/>
          <w:szCs w:val="22"/>
        </w:rPr>
      </w:pPr>
      <w:r w:rsidRPr="00B30FDD">
        <w:rPr>
          <w:rFonts w:ascii="TyponineSans Reg" w:hAnsi="TyponineSans Reg"/>
          <w:szCs w:val="22"/>
        </w:rPr>
        <w:t xml:space="preserve">Rashodi za materijal i energiju ostvareni su u iznosu od </w:t>
      </w:r>
      <w:r w:rsidR="000456CF">
        <w:rPr>
          <w:rFonts w:ascii="TyponineSans Reg" w:hAnsi="TyponineSans Reg"/>
          <w:szCs w:val="22"/>
        </w:rPr>
        <w:t>10.713.445 kn</w:t>
      </w:r>
      <w:r w:rsidRPr="00B30FDD">
        <w:rPr>
          <w:rFonts w:ascii="TyponineSans Reg" w:hAnsi="TyponineSans Reg"/>
          <w:szCs w:val="22"/>
        </w:rPr>
        <w:t xml:space="preserve"> </w:t>
      </w:r>
      <w:r w:rsidR="000456CF">
        <w:rPr>
          <w:rFonts w:ascii="TyponineSans Reg" w:hAnsi="TyponineSans Reg"/>
          <w:szCs w:val="22"/>
        </w:rPr>
        <w:t>i veći su za 2.943.702 kn u odnosu na ostvarenje 2020. godine i manji za 1.578.405 u odnosu na plan 2021. godine.</w:t>
      </w:r>
      <w:r w:rsidRPr="00B30FDD">
        <w:rPr>
          <w:rFonts w:ascii="TyponineSans Reg" w:hAnsi="TyponineSans Reg"/>
          <w:szCs w:val="22"/>
        </w:rPr>
        <w:t xml:space="preserve"> </w:t>
      </w:r>
    </w:p>
    <w:p w14:paraId="70B03C66" w14:textId="77777777" w:rsidR="00347A12" w:rsidRPr="00B30FDD" w:rsidRDefault="00347A12" w:rsidP="00347A12">
      <w:pPr>
        <w:ind w:left="420"/>
        <w:jc w:val="both"/>
        <w:rPr>
          <w:rFonts w:ascii="TyponineSans Reg" w:hAnsi="TyponineSans Reg"/>
          <w:szCs w:val="22"/>
        </w:rPr>
      </w:pPr>
    </w:p>
    <w:p w14:paraId="02964E73" w14:textId="1003C846" w:rsidR="00347A12" w:rsidRPr="000612FF" w:rsidRDefault="000456CF" w:rsidP="00347A12">
      <w:pPr>
        <w:ind w:left="780"/>
        <w:jc w:val="both"/>
        <w:rPr>
          <w:rFonts w:ascii="TyponineSans Reg" w:hAnsi="TyponineSans Reg"/>
          <w:szCs w:val="22"/>
        </w:rPr>
      </w:pPr>
      <w:r w:rsidRPr="000612FF">
        <w:rPr>
          <w:rFonts w:ascii="TyponineSans Reg" w:hAnsi="TyponineSans Reg"/>
          <w:szCs w:val="22"/>
        </w:rPr>
        <w:t xml:space="preserve">Povećanje rasoda za materijal i energiju  </w:t>
      </w:r>
      <w:r w:rsidR="00347A12" w:rsidRPr="000612FF">
        <w:rPr>
          <w:rFonts w:ascii="TyponineSans Reg" w:hAnsi="TyponineSans Reg"/>
          <w:szCs w:val="22"/>
        </w:rPr>
        <w:t xml:space="preserve">ostvareno je u troškovima nabavke </w:t>
      </w:r>
      <w:r w:rsidRPr="000612FF">
        <w:rPr>
          <w:rFonts w:ascii="TyponineSans Reg" w:hAnsi="TyponineSans Reg"/>
          <w:szCs w:val="22"/>
        </w:rPr>
        <w:t xml:space="preserve">uredskog </w:t>
      </w:r>
      <w:r w:rsidR="00347A12" w:rsidRPr="000612FF">
        <w:rPr>
          <w:rFonts w:ascii="TyponineSans Reg" w:hAnsi="TyponineSans Reg"/>
          <w:szCs w:val="22"/>
        </w:rPr>
        <w:t xml:space="preserve">materijala i </w:t>
      </w:r>
      <w:r w:rsidRPr="000612FF">
        <w:rPr>
          <w:rFonts w:ascii="TyponineSans Reg" w:hAnsi="TyponineSans Reg"/>
          <w:szCs w:val="22"/>
        </w:rPr>
        <w:t xml:space="preserve">ostalog materijala za 203.745 kn prvenstveno radi povećanja troškova materijala za čišćenje  kao i sredstava za Covid 19. Troškovi materijala i sirovina povećan </w:t>
      </w:r>
      <w:r w:rsidR="000612FF" w:rsidRPr="000612FF">
        <w:rPr>
          <w:rFonts w:ascii="TyponineSans Reg" w:hAnsi="TyponineSans Reg"/>
          <w:szCs w:val="22"/>
        </w:rPr>
        <w:t xml:space="preserve">je za </w:t>
      </w:r>
      <w:r w:rsidRPr="000612FF">
        <w:rPr>
          <w:rFonts w:ascii="TyponineSans Reg" w:hAnsi="TyponineSans Reg"/>
          <w:szCs w:val="22"/>
        </w:rPr>
        <w:t>1.498.581 kn</w:t>
      </w:r>
      <w:r w:rsidR="00347A12" w:rsidRPr="000612FF">
        <w:rPr>
          <w:rFonts w:ascii="TyponineSans Reg" w:hAnsi="TyponineSans Reg"/>
          <w:szCs w:val="22"/>
        </w:rPr>
        <w:t xml:space="preserve">, odnosno </w:t>
      </w:r>
      <w:r w:rsidRPr="000612FF">
        <w:rPr>
          <w:rFonts w:ascii="TyponineSans Reg" w:hAnsi="TyponineSans Reg"/>
          <w:szCs w:val="22"/>
        </w:rPr>
        <w:t>55,79</w:t>
      </w:r>
      <w:r w:rsidR="00347A12" w:rsidRPr="000612FF">
        <w:rPr>
          <w:rFonts w:ascii="TyponineSans Reg" w:hAnsi="TyponineSans Reg"/>
          <w:szCs w:val="22"/>
        </w:rPr>
        <w:t xml:space="preserve">% radi ostvarenja </w:t>
      </w:r>
      <w:r w:rsidRPr="000612FF">
        <w:rPr>
          <w:rFonts w:ascii="TyponineSans Reg" w:hAnsi="TyponineSans Reg"/>
          <w:szCs w:val="22"/>
        </w:rPr>
        <w:t xml:space="preserve">većeg </w:t>
      </w:r>
      <w:r w:rsidR="00347A12" w:rsidRPr="000612FF">
        <w:rPr>
          <w:rFonts w:ascii="TyponineSans Reg" w:hAnsi="TyponineSans Reg"/>
          <w:szCs w:val="22"/>
        </w:rPr>
        <w:t xml:space="preserve">broja noćenja, a samim time i prihoda od prodaje ugostiteljskih usluga (hrane i pića). Troškovi energije ostvareni su u iznosu od </w:t>
      </w:r>
      <w:r w:rsidRPr="000612FF">
        <w:rPr>
          <w:rFonts w:ascii="TyponineSans Reg" w:hAnsi="TyponineSans Reg"/>
          <w:szCs w:val="22"/>
        </w:rPr>
        <w:t xml:space="preserve">3.781.686 kn </w:t>
      </w:r>
      <w:r w:rsidR="00347A12" w:rsidRPr="000612FF">
        <w:rPr>
          <w:rFonts w:ascii="TyponineSans Reg" w:hAnsi="TyponineSans Reg"/>
          <w:szCs w:val="22"/>
        </w:rPr>
        <w:t xml:space="preserve">i </w:t>
      </w:r>
      <w:r w:rsidRPr="000612FF">
        <w:rPr>
          <w:rFonts w:ascii="TyponineSans Reg" w:hAnsi="TyponineSans Reg"/>
          <w:szCs w:val="22"/>
        </w:rPr>
        <w:t xml:space="preserve">veći </w:t>
      </w:r>
      <w:r w:rsidR="00347A12" w:rsidRPr="000612FF">
        <w:rPr>
          <w:rFonts w:ascii="TyponineSans Reg" w:hAnsi="TyponineSans Reg"/>
          <w:szCs w:val="22"/>
        </w:rPr>
        <w:t xml:space="preserve"> su u odnosu na prošlu godinu za </w:t>
      </w:r>
      <w:r w:rsidRPr="000612FF">
        <w:rPr>
          <w:rFonts w:ascii="TyponineSans Reg" w:hAnsi="TyponineSans Reg"/>
          <w:szCs w:val="22"/>
        </w:rPr>
        <w:t>1.313.581 kn</w:t>
      </w:r>
      <w:r w:rsidR="00347A12" w:rsidRPr="000612FF">
        <w:rPr>
          <w:rFonts w:ascii="TyponineSans Reg" w:hAnsi="TyponineSans Reg"/>
          <w:szCs w:val="22"/>
        </w:rPr>
        <w:t xml:space="preserve">, odnosno </w:t>
      </w:r>
      <w:r w:rsidR="000612FF" w:rsidRPr="000612FF">
        <w:rPr>
          <w:rFonts w:ascii="TyponineSans Reg" w:hAnsi="TyponineSans Reg"/>
          <w:szCs w:val="22"/>
        </w:rPr>
        <w:t>53,22</w:t>
      </w:r>
      <w:r w:rsidR="00347A12" w:rsidRPr="000612FF">
        <w:rPr>
          <w:rFonts w:ascii="TyponineSans Reg" w:hAnsi="TyponineSans Reg"/>
          <w:szCs w:val="22"/>
        </w:rPr>
        <w:t>%. Troškovi materijala i dijelovi za tekuće i investicijsko održavanje ostvareni su u iznosu od 1.</w:t>
      </w:r>
      <w:r w:rsidR="000612FF" w:rsidRPr="000612FF">
        <w:rPr>
          <w:rFonts w:ascii="TyponineSans Reg" w:hAnsi="TyponineSans Reg"/>
          <w:szCs w:val="22"/>
        </w:rPr>
        <w:t>304.826</w:t>
      </w:r>
      <w:r w:rsidR="00347A12" w:rsidRPr="000612FF">
        <w:rPr>
          <w:rFonts w:ascii="TyponineSans Reg" w:hAnsi="TyponineSans Reg"/>
          <w:szCs w:val="22"/>
        </w:rPr>
        <w:t xml:space="preserve"> kn i  manji su za </w:t>
      </w:r>
      <w:r w:rsidR="000612FF" w:rsidRPr="000612FF">
        <w:rPr>
          <w:rFonts w:ascii="TyponineSans Reg" w:hAnsi="TyponineSans Reg"/>
          <w:szCs w:val="22"/>
        </w:rPr>
        <w:t>213.843</w:t>
      </w:r>
      <w:r w:rsidR="00347A12" w:rsidRPr="000612FF">
        <w:rPr>
          <w:rFonts w:ascii="TyponineSans Reg" w:hAnsi="TyponineSans Reg"/>
          <w:szCs w:val="22"/>
        </w:rPr>
        <w:t xml:space="preserve"> kn, odnosno </w:t>
      </w:r>
      <w:r w:rsidR="000612FF" w:rsidRPr="000612FF">
        <w:rPr>
          <w:rFonts w:ascii="TyponineSans Reg" w:hAnsi="TyponineSans Reg"/>
          <w:szCs w:val="22"/>
        </w:rPr>
        <w:t>14,08</w:t>
      </w:r>
      <w:r w:rsidR="00347A12" w:rsidRPr="000612FF">
        <w:rPr>
          <w:rFonts w:ascii="TyponineSans Reg" w:hAnsi="TyponineSans Reg"/>
          <w:szCs w:val="22"/>
        </w:rPr>
        <w:t>% u odnosu na prošlu godinu. Troškovi nabave sitnog inventara i auto guma ostvareni su u iznosu od 2</w:t>
      </w:r>
      <w:r w:rsidR="000612FF" w:rsidRPr="000612FF">
        <w:rPr>
          <w:rFonts w:ascii="TyponineSans Reg" w:hAnsi="TyponineSans Reg"/>
          <w:szCs w:val="22"/>
        </w:rPr>
        <w:t>56.101</w:t>
      </w:r>
      <w:r w:rsidR="00347A12" w:rsidRPr="000612FF">
        <w:rPr>
          <w:rFonts w:ascii="TyponineSans Reg" w:hAnsi="TyponineSans Reg"/>
          <w:szCs w:val="22"/>
        </w:rPr>
        <w:t xml:space="preserve"> kn i  </w:t>
      </w:r>
      <w:r w:rsidR="000612FF" w:rsidRPr="000612FF">
        <w:rPr>
          <w:rFonts w:ascii="TyponineSans Reg" w:hAnsi="TyponineSans Reg"/>
          <w:szCs w:val="22"/>
        </w:rPr>
        <w:t>veći</w:t>
      </w:r>
      <w:r w:rsidR="00347A12" w:rsidRPr="000612FF">
        <w:rPr>
          <w:rFonts w:ascii="TyponineSans Reg" w:hAnsi="TyponineSans Reg"/>
          <w:szCs w:val="22"/>
        </w:rPr>
        <w:t xml:space="preserve"> su za </w:t>
      </w:r>
      <w:r w:rsidR="000612FF" w:rsidRPr="000612FF">
        <w:rPr>
          <w:rFonts w:ascii="TyponineSans Reg" w:hAnsi="TyponineSans Reg"/>
          <w:szCs w:val="22"/>
        </w:rPr>
        <w:t>53.627</w:t>
      </w:r>
      <w:r w:rsidR="00347A12" w:rsidRPr="000612FF">
        <w:rPr>
          <w:rFonts w:ascii="TyponineSans Reg" w:hAnsi="TyponineSans Reg"/>
          <w:szCs w:val="22"/>
        </w:rPr>
        <w:t xml:space="preserve"> kn, odnosno </w:t>
      </w:r>
      <w:r w:rsidR="000612FF" w:rsidRPr="000612FF">
        <w:rPr>
          <w:rFonts w:ascii="TyponineSans Reg" w:hAnsi="TyponineSans Reg"/>
          <w:szCs w:val="22"/>
        </w:rPr>
        <w:t>26,49</w:t>
      </w:r>
      <w:r w:rsidR="00347A12" w:rsidRPr="000612FF">
        <w:rPr>
          <w:rFonts w:ascii="TyponineSans Reg" w:hAnsi="TyponineSans Reg"/>
          <w:szCs w:val="22"/>
        </w:rPr>
        <w:t xml:space="preserve">% u odnosu na prethodnu godinu. Troškovi nabave radne i zaštitne odjeće ostvareni su u iznosu od </w:t>
      </w:r>
      <w:r w:rsidR="000612FF" w:rsidRPr="000612FF">
        <w:rPr>
          <w:rFonts w:ascii="TyponineSans Reg" w:hAnsi="TyponineSans Reg"/>
          <w:szCs w:val="22"/>
        </w:rPr>
        <w:t>221.916</w:t>
      </w:r>
      <w:r w:rsidR="00347A12" w:rsidRPr="000612FF">
        <w:rPr>
          <w:rFonts w:ascii="TyponineSans Reg" w:hAnsi="TyponineSans Reg"/>
          <w:szCs w:val="22"/>
        </w:rPr>
        <w:t xml:space="preserve"> kn </w:t>
      </w:r>
      <w:r w:rsidR="000612FF" w:rsidRPr="000612FF">
        <w:rPr>
          <w:rFonts w:ascii="TyponineSans Reg" w:hAnsi="TyponineSans Reg"/>
          <w:szCs w:val="22"/>
        </w:rPr>
        <w:t xml:space="preserve">i veći </w:t>
      </w:r>
      <w:r w:rsidR="00347A12" w:rsidRPr="000612FF">
        <w:rPr>
          <w:rFonts w:ascii="TyponineSans Reg" w:hAnsi="TyponineSans Reg"/>
          <w:szCs w:val="22"/>
        </w:rPr>
        <w:t xml:space="preserve">su u odnosu na prošlogodišnje za </w:t>
      </w:r>
      <w:r w:rsidR="000612FF" w:rsidRPr="000612FF">
        <w:rPr>
          <w:rFonts w:ascii="TyponineSans Reg" w:hAnsi="TyponineSans Reg"/>
          <w:szCs w:val="22"/>
        </w:rPr>
        <w:t>88.012 kn</w:t>
      </w:r>
      <w:r w:rsidR="00347A12" w:rsidRPr="000612FF">
        <w:rPr>
          <w:rFonts w:ascii="TyponineSans Reg" w:hAnsi="TyponineSans Reg"/>
          <w:szCs w:val="22"/>
        </w:rPr>
        <w:t>, odnosno 6</w:t>
      </w:r>
      <w:r w:rsidR="000612FF" w:rsidRPr="000612FF">
        <w:rPr>
          <w:rFonts w:ascii="TyponineSans Reg" w:hAnsi="TyponineSans Reg"/>
          <w:szCs w:val="22"/>
        </w:rPr>
        <w:t>5,73%.</w:t>
      </w:r>
    </w:p>
    <w:p w14:paraId="5B4C5091" w14:textId="6C2E0612" w:rsidR="00347A12" w:rsidRPr="000612FF" w:rsidRDefault="00347A12" w:rsidP="00347A12">
      <w:pPr>
        <w:numPr>
          <w:ilvl w:val="0"/>
          <w:numId w:val="12"/>
        </w:numPr>
        <w:jc w:val="both"/>
        <w:rPr>
          <w:rFonts w:ascii="TyponineSans Reg" w:hAnsi="TyponineSans Reg"/>
          <w:szCs w:val="22"/>
        </w:rPr>
      </w:pPr>
      <w:r w:rsidRPr="000612FF">
        <w:rPr>
          <w:rFonts w:ascii="TyponineSans Reg" w:hAnsi="TyponineSans Reg"/>
          <w:szCs w:val="22"/>
        </w:rPr>
        <w:t>Rashodi za usluge u iznosu od 1</w:t>
      </w:r>
      <w:r w:rsidR="000612FF" w:rsidRPr="000612FF">
        <w:rPr>
          <w:rFonts w:ascii="TyponineSans Reg" w:hAnsi="TyponineSans Reg"/>
          <w:szCs w:val="22"/>
        </w:rPr>
        <w:t>4.935.001</w:t>
      </w:r>
      <w:r w:rsidRPr="000612FF">
        <w:rPr>
          <w:rFonts w:ascii="TyponineSans Reg" w:hAnsi="TyponineSans Reg"/>
          <w:szCs w:val="22"/>
        </w:rPr>
        <w:t xml:space="preserve"> kn  </w:t>
      </w:r>
      <w:r w:rsidR="000612FF" w:rsidRPr="000612FF">
        <w:rPr>
          <w:rFonts w:ascii="TyponineSans Reg" w:hAnsi="TyponineSans Reg"/>
          <w:szCs w:val="22"/>
        </w:rPr>
        <w:t xml:space="preserve">veći su za </w:t>
      </w:r>
      <w:r w:rsidRPr="000612FF">
        <w:rPr>
          <w:rFonts w:ascii="TyponineSans Reg" w:hAnsi="TyponineSans Reg"/>
          <w:szCs w:val="22"/>
        </w:rPr>
        <w:t xml:space="preserve"> </w:t>
      </w:r>
      <w:r w:rsidR="000612FF" w:rsidRPr="000612FF">
        <w:rPr>
          <w:rFonts w:ascii="TyponineSans Reg" w:hAnsi="TyponineSans Reg"/>
          <w:szCs w:val="22"/>
        </w:rPr>
        <w:t>2,976,337 kn</w:t>
      </w:r>
      <w:r w:rsidRPr="000612FF">
        <w:rPr>
          <w:rFonts w:ascii="TyponineSans Reg" w:hAnsi="TyponineSans Reg"/>
          <w:szCs w:val="22"/>
        </w:rPr>
        <w:t xml:space="preserve">, odnosno za </w:t>
      </w:r>
      <w:r w:rsidR="000612FF" w:rsidRPr="000612FF">
        <w:rPr>
          <w:rFonts w:ascii="TyponineSans Reg" w:hAnsi="TyponineSans Reg"/>
          <w:szCs w:val="22"/>
        </w:rPr>
        <w:t>24,89</w:t>
      </w:r>
      <w:r w:rsidRPr="000612FF">
        <w:rPr>
          <w:rFonts w:ascii="TyponineSans Reg" w:hAnsi="TyponineSans Reg"/>
          <w:szCs w:val="22"/>
        </w:rPr>
        <w:t xml:space="preserve">% u odnosu na </w:t>
      </w:r>
      <w:r w:rsidR="000612FF" w:rsidRPr="000612FF">
        <w:rPr>
          <w:rFonts w:ascii="TyponineSans Reg" w:hAnsi="TyponineSans Reg"/>
          <w:szCs w:val="22"/>
        </w:rPr>
        <w:t>ostvarenje  2020. godine.</w:t>
      </w:r>
      <w:r w:rsidRPr="000612FF">
        <w:rPr>
          <w:rFonts w:ascii="TyponineSans Reg" w:hAnsi="TyponineSans Reg"/>
          <w:szCs w:val="22"/>
        </w:rPr>
        <w:t xml:space="preserve"> </w:t>
      </w:r>
    </w:p>
    <w:p w14:paraId="19BBACC3" w14:textId="77777777" w:rsidR="00347A12" w:rsidRPr="000612FF" w:rsidRDefault="00347A12" w:rsidP="00347A12">
      <w:pPr>
        <w:ind w:left="780"/>
        <w:jc w:val="both"/>
        <w:rPr>
          <w:rFonts w:ascii="TyponineSans Reg" w:hAnsi="TyponineSans Reg"/>
          <w:szCs w:val="22"/>
        </w:rPr>
      </w:pPr>
      <w:r w:rsidRPr="000612FF">
        <w:rPr>
          <w:rFonts w:ascii="TyponineSans Reg" w:hAnsi="TyponineSans Reg"/>
          <w:szCs w:val="22"/>
        </w:rPr>
        <w:t>Najznačajnije stavke   rashoda za usluge odnose se na:</w:t>
      </w:r>
    </w:p>
    <w:p w14:paraId="4FDF7667" w14:textId="2F7B29BA" w:rsidR="00347A12" w:rsidRPr="00A40382" w:rsidRDefault="00347A12" w:rsidP="00347A12">
      <w:pPr>
        <w:ind w:left="780"/>
        <w:jc w:val="both"/>
        <w:rPr>
          <w:rFonts w:ascii="TyponineSans Reg" w:hAnsi="TyponineSans Reg"/>
          <w:szCs w:val="22"/>
        </w:rPr>
      </w:pPr>
      <w:r w:rsidRPr="000612FF">
        <w:rPr>
          <w:rFonts w:ascii="TyponineSans Reg" w:hAnsi="TyponineSans Reg"/>
          <w:szCs w:val="22"/>
        </w:rPr>
        <w:t>- usluge tekućeg i investicijskog održavanja koje su ostvarene u iznosu od 6.</w:t>
      </w:r>
      <w:r w:rsidR="000612FF" w:rsidRPr="000612FF">
        <w:rPr>
          <w:rFonts w:ascii="TyponineSans Reg" w:hAnsi="TyponineSans Reg"/>
          <w:szCs w:val="22"/>
        </w:rPr>
        <w:t>055.726</w:t>
      </w:r>
      <w:r w:rsidRPr="000612FF">
        <w:rPr>
          <w:rFonts w:ascii="TyponineSans Reg" w:hAnsi="TyponineSans Reg"/>
          <w:szCs w:val="22"/>
        </w:rPr>
        <w:t xml:space="preserve"> kn i </w:t>
      </w:r>
      <w:r w:rsidR="000612FF" w:rsidRPr="000612FF">
        <w:rPr>
          <w:rFonts w:ascii="TyponineSans Reg" w:hAnsi="TyponineSans Reg"/>
          <w:szCs w:val="22"/>
        </w:rPr>
        <w:t xml:space="preserve">manje </w:t>
      </w:r>
      <w:r w:rsidRPr="000612FF">
        <w:rPr>
          <w:rFonts w:ascii="TyponineSans Reg" w:hAnsi="TyponineSans Reg"/>
          <w:szCs w:val="22"/>
        </w:rPr>
        <w:t xml:space="preserve">su za </w:t>
      </w:r>
      <w:r w:rsidR="000612FF" w:rsidRPr="000612FF">
        <w:rPr>
          <w:rFonts w:ascii="TyponineSans Reg" w:hAnsi="TyponineSans Reg"/>
          <w:szCs w:val="22"/>
        </w:rPr>
        <w:t>18,81</w:t>
      </w:r>
      <w:r w:rsidRPr="000612FF">
        <w:rPr>
          <w:rFonts w:ascii="TyponineSans Reg" w:hAnsi="TyponineSans Reg"/>
          <w:szCs w:val="22"/>
        </w:rPr>
        <w:t xml:space="preserve">%, odnosno za </w:t>
      </w:r>
      <w:r w:rsidR="000612FF" w:rsidRPr="000612FF">
        <w:rPr>
          <w:rFonts w:ascii="TyponineSans Reg" w:hAnsi="TyponineSans Reg"/>
          <w:szCs w:val="22"/>
        </w:rPr>
        <w:t>315.420 kn</w:t>
      </w:r>
      <w:r w:rsidRPr="000612FF">
        <w:rPr>
          <w:rFonts w:ascii="TyponineSans Reg" w:hAnsi="TyponineSans Reg"/>
          <w:szCs w:val="22"/>
        </w:rPr>
        <w:t xml:space="preserve"> u odnosu na prethodnu godinu</w:t>
      </w:r>
      <w:r w:rsidRPr="00A40382">
        <w:rPr>
          <w:rFonts w:ascii="TyponineSans Reg" w:hAnsi="TyponineSans Reg"/>
          <w:szCs w:val="22"/>
        </w:rPr>
        <w:t xml:space="preserve">. Najveći iznos odnosi se na održavanje građevinskih objekata koje iznosi ukupno </w:t>
      </w:r>
      <w:r w:rsidR="004F5206" w:rsidRPr="00A40382">
        <w:rPr>
          <w:rFonts w:ascii="TyponineSans Reg" w:hAnsi="TyponineSans Reg"/>
          <w:szCs w:val="22"/>
        </w:rPr>
        <w:t>3.636.322</w:t>
      </w:r>
      <w:r w:rsidRPr="00A40382">
        <w:rPr>
          <w:rFonts w:ascii="TyponineSans Reg" w:hAnsi="TyponineSans Reg"/>
          <w:szCs w:val="22"/>
        </w:rPr>
        <w:t xml:space="preserve"> kn, usluge tekućeg I investicionog održavanja postrojenja I opreme  u iznosu od </w:t>
      </w:r>
      <w:r w:rsidR="00A33D93" w:rsidRPr="00A40382">
        <w:rPr>
          <w:rFonts w:ascii="TyponineSans Reg" w:hAnsi="TyponineSans Reg"/>
          <w:szCs w:val="22"/>
        </w:rPr>
        <w:t>1.171.289</w:t>
      </w:r>
      <w:r w:rsidRPr="00A40382">
        <w:rPr>
          <w:rFonts w:ascii="TyponineSans Reg" w:hAnsi="TyponineSans Reg"/>
          <w:szCs w:val="22"/>
        </w:rPr>
        <w:t xml:space="preserve"> kn te na  održavanje prijevoznih sredstava koje iznosi 1.0</w:t>
      </w:r>
      <w:r w:rsidR="00A33D93" w:rsidRPr="00A40382">
        <w:rPr>
          <w:rFonts w:ascii="TyponineSans Reg" w:hAnsi="TyponineSans Reg"/>
          <w:szCs w:val="22"/>
        </w:rPr>
        <w:t>19.405</w:t>
      </w:r>
      <w:r w:rsidRPr="00A40382">
        <w:rPr>
          <w:rFonts w:ascii="TyponineSans Reg" w:hAnsi="TyponineSans Reg"/>
          <w:szCs w:val="22"/>
        </w:rPr>
        <w:t xml:space="preserve"> kn. Održavanje građevinskih objekata odnose se na ulaganja u sanaciju </w:t>
      </w:r>
      <w:r w:rsidR="00A33D93" w:rsidRPr="00A40382">
        <w:rPr>
          <w:rFonts w:ascii="TyponineSans Reg" w:hAnsi="TyponineSans Reg"/>
          <w:szCs w:val="22"/>
        </w:rPr>
        <w:t xml:space="preserve">spomen obilježja Živa voda, radove na Kompresorskoj stanici, uređenje interijera sobe Neptun, djelomičnu promjenu stolarije objekt Istra – Neptun te krajobrazne radove na Vili Dubravka </w:t>
      </w:r>
      <w:bookmarkStart w:id="3" w:name="_Hlk31110406"/>
      <w:r w:rsidRPr="00A40382">
        <w:rPr>
          <w:rFonts w:ascii="TyponineSans Reg" w:hAnsi="TyponineSans Reg"/>
          <w:szCs w:val="22"/>
        </w:rPr>
        <w:t>te  druga manje značajna ulaganja u građevinske objekte.</w:t>
      </w:r>
    </w:p>
    <w:p w14:paraId="4ACE24C9" w14:textId="727654DA" w:rsidR="00347A12" w:rsidRPr="00A40382" w:rsidRDefault="00347A12" w:rsidP="00347A12">
      <w:pPr>
        <w:ind w:left="780"/>
        <w:jc w:val="both"/>
        <w:rPr>
          <w:rFonts w:ascii="TyponineSans Reg" w:hAnsi="TyponineSans Reg"/>
          <w:szCs w:val="22"/>
        </w:rPr>
      </w:pPr>
      <w:r w:rsidRPr="00A40382">
        <w:rPr>
          <w:rFonts w:ascii="TyponineSans Reg" w:hAnsi="TyponineSans Reg"/>
          <w:szCs w:val="22"/>
        </w:rPr>
        <w:t xml:space="preserve">Pojedinačno najveći troškovi vezano za održavanje prijevoznih sredstava odnose se na remonte i to: remont m/b   Brijunka   </w:t>
      </w:r>
      <w:r w:rsidR="00A40382" w:rsidRPr="00A40382">
        <w:rPr>
          <w:rFonts w:ascii="TyponineSans Reg" w:hAnsi="TyponineSans Reg"/>
          <w:szCs w:val="22"/>
        </w:rPr>
        <w:t>88.330</w:t>
      </w:r>
      <w:r w:rsidRPr="00A40382">
        <w:rPr>
          <w:rFonts w:ascii="TyponineSans Reg" w:hAnsi="TyponineSans Reg"/>
          <w:szCs w:val="22"/>
        </w:rPr>
        <w:t xml:space="preserve"> kn, m/b Veli Brijun u iznosu od </w:t>
      </w:r>
      <w:r w:rsidR="00A40382" w:rsidRPr="00A40382">
        <w:rPr>
          <w:rFonts w:ascii="TyponineSans Reg" w:hAnsi="TyponineSans Reg"/>
          <w:szCs w:val="22"/>
        </w:rPr>
        <w:t>273.342 kn</w:t>
      </w:r>
      <w:r w:rsidRPr="00A40382">
        <w:rPr>
          <w:rFonts w:ascii="TyponineSans Reg" w:hAnsi="TyponineSans Reg"/>
          <w:szCs w:val="22"/>
        </w:rPr>
        <w:t xml:space="preserve">, </w:t>
      </w:r>
      <w:r w:rsidR="00A40382" w:rsidRPr="00A40382">
        <w:rPr>
          <w:rFonts w:ascii="TyponineSans Reg" w:hAnsi="TyponineSans Reg"/>
          <w:szCs w:val="22"/>
        </w:rPr>
        <w:t>glisera Vanga 83.188 kn</w:t>
      </w:r>
      <w:r w:rsidRPr="00A40382">
        <w:rPr>
          <w:rFonts w:ascii="TyponineSans Reg" w:hAnsi="TyponineSans Reg"/>
          <w:szCs w:val="22"/>
        </w:rPr>
        <w:t xml:space="preserve">a </w:t>
      </w:r>
      <w:r w:rsidR="00A40382" w:rsidRPr="00A40382">
        <w:rPr>
          <w:rFonts w:ascii="TyponineSans Reg" w:hAnsi="TyponineSans Reg"/>
          <w:szCs w:val="22"/>
        </w:rPr>
        <w:t>te na servise ostalih plovila, vlakova, elektromobila i ostalih nenavedenih prijevoznih sredstava u iznosu od 574.545 kn</w:t>
      </w:r>
      <w:r w:rsidRPr="00A40382">
        <w:rPr>
          <w:rFonts w:ascii="TyponineSans Reg" w:hAnsi="TyponineSans Reg"/>
          <w:szCs w:val="22"/>
        </w:rPr>
        <w:t>.</w:t>
      </w:r>
    </w:p>
    <w:bookmarkEnd w:id="3"/>
    <w:p w14:paraId="616604EA" w14:textId="244757AF" w:rsidR="00347A12" w:rsidRPr="00A40382" w:rsidRDefault="00347A12" w:rsidP="00347A12">
      <w:pPr>
        <w:ind w:left="780"/>
        <w:jc w:val="both"/>
        <w:rPr>
          <w:rFonts w:ascii="TyponineSans Reg" w:hAnsi="TyponineSans Reg"/>
          <w:szCs w:val="22"/>
        </w:rPr>
      </w:pPr>
      <w:r w:rsidRPr="00A40382">
        <w:rPr>
          <w:rFonts w:ascii="TyponineSans Reg" w:hAnsi="TyponineSans Reg"/>
          <w:szCs w:val="22"/>
        </w:rPr>
        <w:t>- rashodi za komunalne usluge ostvareni su u iznosu od 1.8</w:t>
      </w:r>
      <w:r w:rsidR="00A40382" w:rsidRPr="00A40382">
        <w:rPr>
          <w:rFonts w:ascii="TyponineSans Reg" w:hAnsi="TyponineSans Reg"/>
          <w:szCs w:val="22"/>
        </w:rPr>
        <w:t>91.773</w:t>
      </w:r>
      <w:r w:rsidRPr="00A40382">
        <w:rPr>
          <w:rFonts w:ascii="TyponineSans Reg" w:hAnsi="TyponineSans Reg"/>
          <w:szCs w:val="22"/>
        </w:rPr>
        <w:t>1 kn i kao takvi porasli su za</w:t>
      </w:r>
      <w:r w:rsidR="00A40382" w:rsidRPr="00A40382">
        <w:rPr>
          <w:rFonts w:ascii="TyponineSans Reg" w:hAnsi="TyponineSans Reg"/>
          <w:szCs w:val="22"/>
        </w:rPr>
        <w:t xml:space="preserve"> 2,18</w:t>
      </w:r>
      <w:r w:rsidRPr="00A40382">
        <w:rPr>
          <w:rFonts w:ascii="TyponineSans Reg" w:hAnsi="TyponineSans Reg"/>
          <w:szCs w:val="22"/>
        </w:rPr>
        <w:t xml:space="preserve"> % odnosno za </w:t>
      </w:r>
      <w:r w:rsidR="00A40382" w:rsidRPr="00A40382">
        <w:rPr>
          <w:rFonts w:ascii="TyponineSans Reg" w:hAnsi="TyponineSans Reg"/>
          <w:szCs w:val="22"/>
        </w:rPr>
        <w:t>47.811</w:t>
      </w:r>
      <w:r w:rsidRPr="00A40382">
        <w:rPr>
          <w:rFonts w:ascii="TyponineSans Reg" w:hAnsi="TyponineSans Reg"/>
          <w:szCs w:val="22"/>
        </w:rPr>
        <w:t xml:space="preserve"> kn u odnosu na prethodnu godinu, a odnosi se na povećane rashode za komunalni odvoz smeća s otoka radi novih uvjeta zbrinjavanja otpada. </w:t>
      </w:r>
    </w:p>
    <w:p w14:paraId="21D7734E" w14:textId="38DA6673" w:rsidR="00347A12" w:rsidRPr="00A40382" w:rsidRDefault="00347A12" w:rsidP="00347A12">
      <w:pPr>
        <w:ind w:left="780"/>
        <w:jc w:val="both"/>
        <w:rPr>
          <w:rFonts w:ascii="TyponineSans Reg" w:hAnsi="TyponineSans Reg"/>
          <w:szCs w:val="22"/>
        </w:rPr>
      </w:pPr>
      <w:r w:rsidRPr="00A40382">
        <w:rPr>
          <w:rFonts w:ascii="TyponineSans Reg" w:hAnsi="TyponineSans Reg"/>
          <w:szCs w:val="22"/>
        </w:rPr>
        <w:t xml:space="preserve">- rashodi za zdravstvene usluge ostvarene su u iznosu od </w:t>
      </w:r>
      <w:r w:rsidR="00A40382" w:rsidRPr="00A40382">
        <w:rPr>
          <w:rFonts w:ascii="TyponineSans Reg" w:hAnsi="TyponineSans Reg"/>
          <w:szCs w:val="22"/>
        </w:rPr>
        <w:t xml:space="preserve">143.763 </w:t>
      </w:r>
      <w:r w:rsidRPr="00A40382">
        <w:rPr>
          <w:rFonts w:ascii="TyponineSans Reg" w:hAnsi="TyponineSans Reg"/>
          <w:szCs w:val="22"/>
        </w:rPr>
        <w:t xml:space="preserve"> kn i veće su za </w:t>
      </w:r>
      <w:r w:rsidR="00A40382" w:rsidRPr="00A40382">
        <w:rPr>
          <w:rFonts w:ascii="TyponineSans Reg" w:hAnsi="TyponineSans Reg"/>
          <w:szCs w:val="22"/>
        </w:rPr>
        <w:t>60,61</w:t>
      </w:r>
      <w:r w:rsidRPr="00A40382">
        <w:rPr>
          <w:rFonts w:ascii="TyponineSans Reg" w:hAnsi="TyponineSans Reg"/>
          <w:szCs w:val="22"/>
        </w:rPr>
        <w:t xml:space="preserve">%, odnosno </w:t>
      </w:r>
      <w:r w:rsidR="00A40382" w:rsidRPr="00A40382">
        <w:rPr>
          <w:rFonts w:ascii="TyponineSans Reg" w:hAnsi="TyponineSans Reg"/>
          <w:szCs w:val="22"/>
        </w:rPr>
        <w:t xml:space="preserve">54.251 </w:t>
      </w:r>
      <w:r w:rsidRPr="00A40382">
        <w:rPr>
          <w:rFonts w:ascii="TyponineSans Reg" w:hAnsi="TyponineSans Reg"/>
          <w:szCs w:val="22"/>
        </w:rPr>
        <w:t>kn u odnosu na prethodnu godinu.</w:t>
      </w:r>
    </w:p>
    <w:p w14:paraId="616F3932" w14:textId="16D20D39" w:rsidR="00347A12" w:rsidRPr="00A40382" w:rsidRDefault="00347A12" w:rsidP="00347A12">
      <w:pPr>
        <w:ind w:left="780"/>
        <w:jc w:val="both"/>
        <w:rPr>
          <w:rFonts w:ascii="TyponineSans Reg" w:hAnsi="TyponineSans Reg"/>
          <w:szCs w:val="22"/>
        </w:rPr>
      </w:pPr>
      <w:r w:rsidRPr="00A40382">
        <w:rPr>
          <w:rFonts w:ascii="TyponineSans Reg" w:hAnsi="TyponineSans Reg"/>
          <w:szCs w:val="22"/>
        </w:rPr>
        <w:t xml:space="preserve">- rashodi za računalne usluge ostvarene su u iznosu od </w:t>
      </w:r>
      <w:r w:rsidR="00A40382" w:rsidRPr="00A40382">
        <w:rPr>
          <w:rFonts w:ascii="TyponineSans Reg" w:hAnsi="TyponineSans Reg"/>
          <w:szCs w:val="22"/>
        </w:rPr>
        <w:t>946.561</w:t>
      </w:r>
      <w:r w:rsidRPr="00A40382">
        <w:rPr>
          <w:rFonts w:ascii="TyponineSans Reg" w:hAnsi="TyponineSans Reg"/>
          <w:szCs w:val="22"/>
        </w:rPr>
        <w:t xml:space="preserve"> kn i veće su za </w:t>
      </w:r>
      <w:r w:rsidR="00A40382" w:rsidRPr="00A40382">
        <w:rPr>
          <w:rFonts w:ascii="TyponineSans Reg" w:hAnsi="TyponineSans Reg"/>
          <w:szCs w:val="22"/>
        </w:rPr>
        <w:t>11,95</w:t>
      </w:r>
      <w:r w:rsidRPr="00A40382">
        <w:rPr>
          <w:rFonts w:ascii="TyponineSans Reg" w:hAnsi="TyponineSans Reg"/>
          <w:szCs w:val="22"/>
        </w:rPr>
        <w:t xml:space="preserve">%, odnosno za </w:t>
      </w:r>
      <w:r w:rsidR="00A40382" w:rsidRPr="00A40382">
        <w:rPr>
          <w:rFonts w:ascii="TyponineSans Reg" w:hAnsi="TyponineSans Reg"/>
          <w:szCs w:val="22"/>
        </w:rPr>
        <w:t>101.005</w:t>
      </w:r>
      <w:r w:rsidRPr="00A40382">
        <w:rPr>
          <w:rFonts w:ascii="TyponineSans Reg" w:hAnsi="TyponineSans Reg"/>
          <w:szCs w:val="22"/>
        </w:rPr>
        <w:t xml:space="preserve"> kn radi povećanih rashoda na dogradnji softwera koje Ustanova koristi za elektronsku prodaju </w:t>
      </w:r>
      <w:r w:rsidR="00A40382" w:rsidRPr="00A40382">
        <w:rPr>
          <w:rFonts w:ascii="TyponineSans Reg" w:hAnsi="TyponineSans Reg"/>
          <w:szCs w:val="22"/>
        </w:rPr>
        <w:t>i</w:t>
      </w:r>
      <w:r w:rsidRPr="00A40382">
        <w:rPr>
          <w:rFonts w:ascii="TyponineSans Reg" w:hAnsi="TyponineSans Reg"/>
          <w:szCs w:val="22"/>
        </w:rPr>
        <w:t xml:space="preserve"> naplatu ulaznica </w:t>
      </w:r>
      <w:r w:rsidR="00A40382" w:rsidRPr="00A40382">
        <w:rPr>
          <w:rFonts w:ascii="TyponineSans Reg" w:hAnsi="TyponineSans Reg"/>
          <w:szCs w:val="22"/>
        </w:rPr>
        <w:t xml:space="preserve">kao i </w:t>
      </w:r>
      <w:r w:rsidRPr="00A40382">
        <w:rPr>
          <w:rFonts w:ascii="TyponineSans Reg" w:hAnsi="TyponineSans Reg"/>
          <w:szCs w:val="22"/>
        </w:rPr>
        <w:t xml:space="preserve">zbog uvođenja novih modula.  </w:t>
      </w:r>
    </w:p>
    <w:p w14:paraId="1EB82532" w14:textId="57031D79" w:rsidR="00347A12" w:rsidRPr="008064B6" w:rsidRDefault="00347A12" w:rsidP="00347A12">
      <w:pPr>
        <w:numPr>
          <w:ilvl w:val="0"/>
          <w:numId w:val="12"/>
        </w:numPr>
        <w:jc w:val="both"/>
        <w:rPr>
          <w:rFonts w:ascii="TyponineSans Reg" w:hAnsi="TyponineSans Reg"/>
          <w:szCs w:val="22"/>
        </w:rPr>
      </w:pPr>
      <w:r w:rsidRPr="00A40382">
        <w:rPr>
          <w:rFonts w:ascii="TyponineSans Reg" w:hAnsi="TyponineSans Reg"/>
          <w:szCs w:val="22"/>
        </w:rPr>
        <w:t xml:space="preserve">Naknade troškova osobama izvan radnog odnosa </w:t>
      </w:r>
      <w:r w:rsidR="00A40382" w:rsidRPr="00A40382">
        <w:rPr>
          <w:rFonts w:ascii="TyponineSans Reg" w:hAnsi="TyponineSans Reg"/>
          <w:szCs w:val="22"/>
        </w:rPr>
        <w:t>veći</w:t>
      </w:r>
      <w:r w:rsidRPr="00A40382">
        <w:rPr>
          <w:rFonts w:ascii="TyponineSans Reg" w:hAnsi="TyponineSans Reg"/>
          <w:szCs w:val="22"/>
        </w:rPr>
        <w:t xml:space="preserve"> su u odnosu na prethodnu godinu i iznose </w:t>
      </w:r>
      <w:r w:rsidR="00A40382" w:rsidRPr="00A40382">
        <w:rPr>
          <w:rFonts w:ascii="TyponineSans Reg" w:hAnsi="TyponineSans Reg"/>
          <w:szCs w:val="22"/>
        </w:rPr>
        <w:t>52.</w:t>
      </w:r>
      <w:r w:rsidR="00A40382" w:rsidRPr="008064B6">
        <w:rPr>
          <w:rFonts w:ascii="TyponineSans Reg" w:hAnsi="TyponineSans Reg"/>
          <w:szCs w:val="22"/>
        </w:rPr>
        <w:t>694</w:t>
      </w:r>
      <w:r w:rsidRPr="008064B6">
        <w:rPr>
          <w:rFonts w:ascii="TyponineSans Reg" w:hAnsi="TyponineSans Reg"/>
          <w:szCs w:val="22"/>
        </w:rPr>
        <w:t xml:space="preserve"> i odnose se uglavnom na isplatu naknada vezano za nastale troškove službenih putovanja vanjskih suradnika u sklopu provedbe projekata.  </w:t>
      </w:r>
    </w:p>
    <w:p w14:paraId="1977B899" w14:textId="77777777" w:rsidR="00347A12" w:rsidRPr="00437CA9" w:rsidRDefault="00347A12" w:rsidP="00347A12">
      <w:pPr>
        <w:ind w:left="780"/>
        <w:jc w:val="both"/>
        <w:rPr>
          <w:rFonts w:ascii="TyponineSans Reg" w:hAnsi="TyponineSans Reg"/>
          <w:color w:val="FF0000"/>
          <w:szCs w:val="22"/>
        </w:rPr>
      </w:pPr>
    </w:p>
    <w:p w14:paraId="20F1905D" w14:textId="5318C6D3" w:rsidR="00347A12" w:rsidRPr="008064B6" w:rsidRDefault="00347A12" w:rsidP="00347A12">
      <w:pPr>
        <w:numPr>
          <w:ilvl w:val="0"/>
          <w:numId w:val="12"/>
        </w:numPr>
        <w:jc w:val="both"/>
        <w:rPr>
          <w:rFonts w:ascii="TyponineSans Reg" w:hAnsi="TyponineSans Reg"/>
          <w:b/>
          <w:szCs w:val="22"/>
        </w:rPr>
      </w:pPr>
      <w:r w:rsidRPr="008064B6">
        <w:rPr>
          <w:rFonts w:ascii="TyponineSans Reg" w:hAnsi="TyponineSans Reg"/>
          <w:szCs w:val="22"/>
        </w:rPr>
        <w:lastRenderedPageBreak/>
        <w:t>Ostali nespomenuti rashodi poslovanja ostvareni su u iznosu od   2.</w:t>
      </w:r>
      <w:r w:rsidR="008064B6" w:rsidRPr="008064B6">
        <w:rPr>
          <w:rFonts w:ascii="TyponineSans Reg" w:hAnsi="TyponineSans Reg"/>
          <w:szCs w:val="22"/>
        </w:rPr>
        <w:t>305.130</w:t>
      </w:r>
      <w:r w:rsidRPr="008064B6">
        <w:rPr>
          <w:rFonts w:ascii="TyponineSans Reg" w:hAnsi="TyponineSans Reg"/>
          <w:szCs w:val="22"/>
        </w:rPr>
        <w:t xml:space="preserve"> kn i veći su za </w:t>
      </w:r>
      <w:r w:rsidR="008064B6" w:rsidRPr="008064B6">
        <w:rPr>
          <w:rFonts w:ascii="TyponineSans Reg" w:hAnsi="TyponineSans Reg"/>
          <w:szCs w:val="22"/>
        </w:rPr>
        <w:t>1,61</w:t>
      </w:r>
      <w:r w:rsidRPr="008064B6">
        <w:rPr>
          <w:rFonts w:ascii="TyponineSans Reg" w:hAnsi="TyponineSans Reg"/>
          <w:szCs w:val="22"/>
        </w:rPr>
        <w:t>%, odnosno za</w:t>
      </w:r>
      <w:r w:rsidR="008064B6" w:rsidRPr="008064B6">
        <w:rPr>
          <w:rFonts w:ascii="TyponineSans Reg" w:hAnsi="TyponineSans Reg"/>
          <w:szCs w:val="22"/>
        </w:rPr>
        <w:t xml:space="preserve"> 36.468</w:t>
      </w:r>
      <w:r w:rsidRPr="008064B6">
        <w:rPr>
          <w:rFonts w:ascii="TyponineSans Reg" w:hAnsi="TyponineSans Reg"/>
          <w:szCs w:val="22"/>
        </w:rPr>
        <w:t xml:space="preserve"> kn u odnosu na prošlu godinu. Povećanje ostalih nespomenutih rashoda odnosi se na troškove </w:t>
      </w:r>
      <w:r w:rsidR="008064B6" w:rsidRPr="008064B6">
        <w:rPr>
          <w:rFonts w:ascii="TyponineSans Reg" w:hAnsi="TyponineSans Reg"/>
          <w:szCs w:val="22"/>
        </w:rPr>
        <w:t xml:space="preserve">provizije kartičarima dok su ostali troškovi </w:t>
      </w:r>
      <w:r w:rsidRPr="008064B6">
        <w:rPr>
          <w:rFonts w:ascii="TyponineSans Reg" w:hAnsi="TyponineSans Reg"/>
          <w:szCs w:val="22"/>
        </w:rPr>
        <w:t xml:space="preserve">rashodi reprezentacije, premija osiguranja, članarine i pristojbe te naknade ostvarene u manjim iznosima </w:t>
      </w:r>
      <w:r w:rsidR="008064B6" w:rsidRPr="008064B6">
        <w:rPr>
          <w:rFonts w:ascii="TyponineSans Reg" w:hAnsi="TyponineSans Reg"/>
          <w:szCs w:val="22"/>
        </w:rPr>
        <w:t xml:space="preserve">ili na nivou </w:t>
      </w:r>
      <w:r w:rsidRPr="008064B6">
        <w:rPr>
          <w:rFonts w:ascii="TyponineSans Reg" w:hAnsi="TyponineSans Reg"/>
          <w:szCs w:val="22"/>
        </w:rPr>
        <w:t xml:space="preserve"> prethodne godine.</w:t>
      </w:r>
    </w:p>
    <w:p w14:paraId="0E8850A7" w14:textId="77777777" w:rsidR="00347A12" w:rsidRPr="00437CA9" w:rsidRDefault="00347A12" w:rsidP="00347A12">
      <w:pPr>
        <w:jc w:val="both"/>
        <w:rPr>
          <w:rFonts w:ascii="TyponineSans Reg" w:hAnsi="TyponineSans Reg"/>
          <w:b/>
          <w:color w:val="FF0000"/>
          <w:szCs w:val="22"/>
        </w:rPr>
      </w:pPr>
    </w:p>
    <w:p w14:paraId="1E8ABFF5" w14:textId="1800E2DD" w:rsidR="00347A12" w:rsidRPr="008064B6" w:rsidRDefault="00347A12" w:rsidP="00347A12">
      <w:pPr>
        <w:jc w:val="both"/>
        <w:rPr>
          <w:rFonts w:ascii="TyponineSans Reg" w:hAnsi="TyponineSans Reg"/>
          <w:b/>
          <w:sz w:val="24"/>
          <w:szCs w:val="24"/>
        </w:rPr>
      </w:pPr>
      <w:r w:rsidRPr="008064B6">
        <w:rPr>
          <w:rFonts w:ascii="TyponineSans Reg" w:hAnsi="TyponineSans Reg"/>
          <w:b/>
          <w:sz w:val="24"/>
          <w:szCs w:val="24"/>
        </w:rPr>
        <w:t>AOP 19</w:t>
      </w:r>
      <w:r w:rsidR="008064B6" w:rsidRPr="008064B6">
        <w:rPr>
          <w:rFonts w:ascii="TyponineSans Reg" w:hAnsi="TyponineSans Reg"/>
          <w:b/>
          <w:sz w:val="24"/>
          <w:szCs w:val="24"/>
        </w:rPr>
        <w:t>1</w:t>
      </w:r>
    </w:p>
    <w:p w14:paraId="4BF2D0B3" w14:textId="77777777" w:rsidR="00347A12" w:rsidRPr="008064B6" w:rsidRDefault="00347A12" w:rsidP="00347A12">
      <w:pPr>
        <w:jc w:val="both"/>
        <w:rPr>
          <w:rFonts w:ascii="TyponineSans Reg" w:hAnsi="TyponineSans Reg"/>
          <w:b/>
          <w:sz w:val="24"/>
          <w:szCs w:val="24"/>
        </w:rPr>
      </w:pPr>
      <w:r w:rsidRPr="008064B6">
        <w:rPr>
          <w:rFonts w:ascii="TyponineSans Reg" w:hAnsi="TyponineSans Reg"/>
          <w:b/>
          <w:sz w:val="24"/>
          <w:szCs w:val="24"/>
        </w:rPr>
        <w:t>Financijski   rashodi</w:t>
      </w:r>
    </w:p>
    <w:p w14:paraId="3D3D53CB" w14:textId="77777777" w:rsidR="00347A12" w:rsidRPr="008064B6" w:rsidRDefault="00347A12" w:rsidP="00347A12">
      <w:pPr>
        <w:jc w:val="both"/>
        <w:rPr>
          <w:rFonts w:ascii="TyponineSans Reg" w:hAnsi="TyponineSans Reg"/>
          <w:b/>
          <w:szCs w:val="22"/>
        </w:rPr>
      </w:pPr>
    </w:p>
    <w:p w14:paraId="74C47ABE" w14:textId="2ED865BE" w:rsidR="00347A12" w:rsidRPr="008064B6" w:rsidRDefault="00347A12" w:rsidP="00347A12">
      <w:pPr>
        <w:jc w:val="both"/>
        <w:rPr>
          <w:rFonts w:ascii="TyponineSans Reg" w:hAnsi="TyponineSans Reg"/>
          <w:b/>
          <w:szCs w:val="22"/>
        </w:rPr>
      </w:pPr>
      <w:r w:rsidRPr="008064B6">
        <w:rPr>
          <w:rFonts w:ascii="TyponineSans Reg" w:hAnsi="TyponineSans Reg"/>
          <w:szCs w:val="22"/>
        </w:rPr>
        <w:t xml:space="preserve">Financijski rashodi Ustanove evidentirani su u ukupnom iznosu od </w:t>
      </w:r>
      <w:r w:rsidR="008064B6" w:rsidRPr="008064B6">
        <w:rPr>
          <w:rFonts w:ascii="TyponineSans Reg" w:hAnsi="TyponineSans Reg"/>
          <w:szCs w:val="22"/>
        </w:rPr>
        <w:t>120.129</w:t>
      </w:r>
      <w:r w:rsidRPr="008064B6">
        <w:rPr>
          <w:rFonts w:ascii="TyponineSans Reg" w:hAnsi="TyponineSans Reg"/>
          <w:szCs w:val="22"/>
        </w:rPr>
        <w:t xml:space="preserve"> kn i </w:t>
      </w:r>
      <w:r w:rsidR="00E45227">
        <w:rPr>
          <w:rFonts w:ascii="TyponineSans Reg" w:hAnsi="TyponineSans Reg"/>
          <w:szCs w:val="22"/>
        </w:rPr>
        <w:t>veći</w:t>
      </w:r>
      <w:r w:rsidRPr="008064B6">
        <w:rPr>
          <w:rFonts w:ascii="TyponineSans Reg" w:hAnsi="TyponineSans Reg"/>
          <w:szCs w:val="22"/>
        </w:rPr>
        <w:t xml:space="preserve"> su za </w:t>
      </w:r>
      <w:r w:rsidR="00E45227">
        <w:rPr>
          <w:rFonts w:ascii="TyponineSans Reg" w:hAnsi="TyponineSans Reg"/>
          <w:szCs w:val="22"/>
        </w:rPr>
        <w:t>28.909</w:t>
      </w:r>
      <w:r w:rsidRPr="008064B6">
        <w:rPr>
          <w:rFonts w:ascii="TyponineSans Reg" w:hAnsi="TyponineSans Reg"/>
          <w:szCs w:val="22"/>
        </w:rPr>
        <w:t xml:space="preserve"> kn, odnosno </w:t>
      </w:r>
      <w:r w:rsidR="00E45227">
        <w:rPr>
          <w:rFonts w:ascii="TyponineSans Reg" w:hAnsi="TyponineSans Reg"/>
          <w:szCs w:val="22"/>
        </w:rPr>
        <w:t>31,69</w:t>
      </w:r>
      <w:r w:rsidRPr="008064B6">
        <w:rPr>
          <w:rFonts w:ascii="TyponineSans Reg" w:hAnsi="TyponineSans Reg"/>
          <w:szCs w:val="22"/>
        </w:rPr>
        <w:t xml:space="preserve">1% u odnosu na prethodnu godinu, prije svega, zbog </w:t>
      </w:r>
      <w:r w:rsidR="00E45227">
        <w:rPr>
          <w:rFonts w:ascii="TyponineSans Reg" w:hAnsi="TyponineSans Reg"/>
          <w:szCs w:val="22"/>
        </w:rPr>
        <w:t xml:space="preserve">povećanja </w:t>
      </w:r>
      <w:r w:rsidRPr="008064B6">
        <w:rPr>
          <w:rFonts w:ascii="TyponineSans Reg" w:hAnsi="TyponineSans Reg"/>
          <w:szCs w:val="22"/>
        </w:rPr>
        <w:t>rashoda za bankarske usluge i usluge platnog prometa</w:t>
      </w:r>
      <w:r w:rsidR="00E45227">
        <w:rPr>
          <w:rFonts w:ascii="TyponineSans Reg" w:hAnsi="TyponineSans Reg"/>
          <w:szCs w:val="22"/>
        </w:rPr>
        <w:t>.</w:t>
      </w:r>
    </w:p>
    <w:p w14:paraId="111427B2" w14:textId="77777777" w:rsidR="009D4710" w:rsidRPr="008064B6" w:rsidRDefault="009D4710" w:rsidP="0012726D">
      <w:pPr>
        <w:jc w:val="both"/>
        <w:rPr>
          <w:rFonts w:ascii="TyponineSans Reg" w:hAnsi="TyponineSans Reg"/>
          <w:b/>
          <w:sz w:val="24"/>
        </w:rPr>
      </w:pPr>
    </w:p>
    <w:p w14:paraId="78F9517C" w14:textId="180E3124" w:rsidR="00A663E3" w:rsidRPr="008064B6" w:rsidRDefault="00A663E3" w:rsidP="00A663E3">
      <w:pPr>
        <w:jc w:val="both"/>
        <w:rPr>
          <w:rFonts w:ascii="TyponineSans Reg" w:hAnsi="TyponineSans Reg"/>
          <w:b/>
          <w:sz w:val="24"/>
          <w:szCs w:val="24"/>
        </w:rPr>
      </w:pPr>
      <w:r w:rsidRPr="008064B6">
        <w:rPr>
          <w:rFonts w:ascii="TyponineSans Reg" w:hAnsi="TyponineSans Reg"/>
          <w:b/>
          <w:sz w:val="24"/>
          <w:szCs w:val="24"/>
        </w:rPr>
        <w:t>AOP 2</w:t>
      </w:r>
      <w:r w:rsidR="008064B6" w:rsidRPr="008064B6">
        <w:rPr>
          <w:rFonts w:ascii="TyponineSans Reg" w:hAnsi="TyponineSans Reg"/>
          <w:b/>
          <w:sz w:val="24"/>
          <w:szCs w:val="24"/>
        </w:rPr>
        <w:t>19</w:t>
      </w:r>
    </w:p>
    <w:p w14:paraId="0FB7EBC6" w14:textId="77777777" w:rsidR="00A663E3" w:rsidRPr="008064B6" w:rsidRDefault="00A663E3" w:rsidP="00A663E3">
      <w:pPr>
        <w:jc w:val="both"/>
        <w:rPr>
          <w:rFonts w:ascii="TyponineSans Reg" w:hAnsi="TyponineSans Reg"/>
          <w:b/>
          <w:sz w:val="24"/>
          <w:szCs w:val="24"/>
        </w:rPr>
      </w:pPr>
      <w:r w:rsidRPr="008064B6">
        <w:rPr>
          <w:rFonts w:ascii="TyponineSans Reg" w:hAnsi="TyponineSans Reg"/>
          <w:b/>
          <w:sz w:val="24"/>
          <w:szCs w:val="24"/>
        </w:rPr>
        <w:t>Pomoći dane u inozemstvo i unutar općeg proračuna</w:t>
      </w:r>
    </w:p>
    <w:p w14:paraId="1DDCC9CC" w14:textId="77777777" w:rsidR="00A663E3" w:rsidRPr="008064B6" w:rsidRDefault="00A663E3" w:rsidP="00A663E3">
      <w:pPr>
        <w:jc w:val="both"/>
        <w:rPr>
          <w:rFonts w:ascii="TyponineSans Reg" w:hAnsi="TyponineSans Reg"/>
          <w:b/>
          <w:sz w:val="24"/>
          <w:szCs w:val="24"/>
        </w:rPr>
      </w:pPr>
    </w:p>
    <w:p w14:paraId="49E9A38F" w14:textId="3AC79FA7" w:rsidR="0012726D" w:rsidRPr="008064B6" w:rsidRDefault="00A663E3" w:rsidP="00A663E3">
      <w:pPr>
        <w:jc w:val="both"/>
        <w:rPr>
          <w:rFonts w:ascii="TyponineSans Reg" w:hAnsi="TyponineSans Reg"/>
          <w:sz w:val="24"/>
        </w:rPr>
      </w:pPr>
      <w:r w:rsidRPr="008064B6">
        <w:rPr>
          <w:rFonts w:ascii="TyponineSans Reg" w:hAnsi="TyponineSans Reg"/>
          <w:szCs w:val="22"/>
        </w:rPr>
        <w:t xml:space="preserve">Pomoći dane u inozemstvo I unutar općeg proračuna ostvarene su u iznosu od </w:t>
      </w:r>
      <w:r w:rsidR="008064B6" w:rsidRPr="008064B6">
        <w:rPr>
          <w:rFonts w:ascii="TyponineSans Reg" w:hAnsi="TyponineSans Reg"/>
          <w:szCs w:val="22"/>
        </w:rPr>
        <w:t>56</w:t>
      </w:r>
      <w:r w:rsidRPr="008064B6">
        <w:rPr>
          <w:rFonts w:ascii="TyponineSans Reg" w:hAnsi="TyponineSans Reg"/>
          <w:szCs w:val="22"/>
        </w:rPr>
        <w:t>2</w:t>
      </w:r>
      <w:r w:rsidR="008064B6" w:rsidRPr="008064B6">
        <w:rPr>
          <w:rFonts w:ascii="TyponineSans Reg" w:hAnsi="TyponineSans Reg"/>
          <w:szCs w:val="22"/>
        </w:rPr>
        <w:t>.077</w:t>
      </w:r>
      <w:r w:rsidRPr="008064B6">
        <w:rPr>
          <w:rFonts w:ascii="TyponineSans Reg" w:hAnsi="TyponineSans Reg"/>
          <w:szCs w:val="22"/>
        </w:rPr>
        <w:t xml:space="preserve"> kn i odnose se na 3%  ostvarenih prihoda od obavljanja posjetiteljske djelatnosti koji su temeljem Pravilnika o mjerilima i načinu korištenja donacija i vlastitih prihoda nacionalnih parkova i parkova prirode (NN 65/2017) tijekom godine uplaćeni u državni proračun na izdvojeni izvor sredstava pod nazivom Zajednička sredstva parkova Hrvatske. Iznos uplaćenih sredstava </w:t>
      </w:r>
      <w:r w:rsidR="00374E6C">
        <w:rPr>
          <w:rFonts w:ascii="TyponineSans Reg" w:hAnsi="TyponineSans Reg"/>
          <w:szCs w:val="22"/>
        </w:rPr>
        <w:t xml:space="preserve">veći </w:t>
      </w:r>
      <w:r w:rsidRPr="008064B6">
        <w:rPr>
          <w:rFonts w:ascii="TyponineSans Reg" w:hAnsi="TyponineSans Reg"/>
          <w:szCs w:val="22"/>
        </w:rPr>
        <w:t xml:space="preserve">je u odnosu na prethodnu godinu iz razloga </w:t>
      </w:r>
      <w:r w:rsidR="009A38A9">
        <w:rPr>
          <w:rFonts w:ascii="TyponineSans Reg" w:hAnsi="TyponineSans Reg"/>
          <w:szCs w:val="22"/>
        </w:rPr>
        <w:t xml:space="preserve">povećanja </w:t>
      </w:r>
      <w:r w:rsidRPr="008064B6">
        <w:rPr>
          <w:rFonts w:ascii="TyponineSans Reg" w:hAnsi="TyponineSans Reg"/>
          <w:szCs w:val="22"/>
        </w:rPr>
        <w:t>Prihoda od izleta u odnosu na prethodnu godinu</w:t>
      </w:r>
      <w:r w:rsidR="009A38A9">
        <w:rPr>
          <w:rFonts w:ascii="TyponineSans Reg" w:hAnsi="TyponineSans Reg"/>
          <w:szCs w:val="22"/>
        </w:rPr>
        <w:t>.</w:t>
      </w:r>
    </w:p>
    <w:p w14:paraId="1C759D67" w14:textId="77777777" w:rsidR="0063115E" w:rsidRDefault="0063115E" w:rsidP="0063115E">
      <w:pPr>
        <w:pStyle w:val="BodyText2"/>
        <w:rPr>
          <w:rFonts w:ascii="TyponineSans Reg" w:hAnsi="TyponineSans Reg"/>
          <w:b/>
          <w:i w:val="0"/>
          <w:sz w:val="24"/>
        </w:rPr>
      </w:pPr>
    </w:p>
    <w:p w14:paraId="3D490DAF" w14:textId="65AF9861" w:rsidR="0063115E" w:rsidRPr="00490044" w:rsidRDefault="0063115E" w:rsidP="0063115E">
      <w:pPr>
        <w:pStyle w:val="BodyText2"/>
        <w:rPr>
          <w:rFonts w:ascii="TyponineSans Reg" w:hAnsi="TyponineSans Reg"/>
          <w:b/>
          <w:i w:val="0"/>
          <w:sz w:val="24"/>
        </w:rPr>
      </w:pPr>
      <w:r w:rsidRPr="00490044">
        <w:rPr>
          <w:rFonts w:ascii="TyponineSans Reg" w:hAnsi="TyponineSans Reg"/>
          <w:b/>
          <w:i w:val="0"/>
          <w:sz w:val="24"/>
        </w:rPr>
        <w:t xml:space="preserve">AOP 285 - AOP 288   </w:t>
      </w:r>
    </w:p>
    <w:p w14:paraId="369EBE1A" w14:textId="77777777" w:rsidR="0063115E" w:rsidRPr="00490044" w:rsidRDefault="0063115E" w:rsidP="0063115E">
      <w:pPr>
        <w:jc w:val="both"/>
        <w:rPr>
          <w:rFonts w:ascii="TyponineSans Reg" w:hAnsi="TyponineSans Reg"/>
          <w:b/>
          <w:sz w:val="24"/>
        </w:rPr>
      </w:pPr>
      <w:r w:rsidRPr="00490044">
        <w:rPr>
          <w:rFonts w:ascii="TyponineSans Reg" w:hAnsi="TyponineSans Reg"/>
          <w:b/>
          <w:sz w:val="24"/>
        </w:rPr>
        <w:t xml:space="preserve">Višak / manjak  prihoda poslovanja – preneseni </w:t>
      </w:r>
    </w:p>
    <w:p w14:paraId="02EFC8E3" w14:textId="77777777" w:rsidR="0063115E" w:rsidRPr="00490044" w:rsidRDefault="0063115E" w:rsidP="0063115E">
      <w:pPr>
        <w:jc w:val="both"/>
        <w:rPr>
          <w:rFonts w:ascii="TyponineSans Reg" w:hAnsi="TyponineSans Reg"/>
          <w:b/>
          <w:sz w:val="24"/>
        </w:rPr>
      </w:pPr>
    </w:p>
    <w:p w14:paraId="43FA4CFC" w14:textId="77777777" w:rsidR="0063115E" w:rsidRPr="00E377BB" w:rsidRDefault="0063115E" w:rsidP="0063115E">
      <w:pPr>
        <w:jc w:val="both"/>
        <w:rPr>
          <w:rFonts w:ascii="TyponineSans Reg" w:hAnsi="TyponineSans Reg"/>
          <w:szCs w:val="22"/>
        </w:rPr>
      </w:pPr>
      <w:r w:rsidRPr="00E377BB">
        <w:rPr>
          <w:rFonts w:ascii="TyponineSans Reg" w:hAnsi="TyponineSans Reg"/>
          <w:szCs w:val="22"/>
        </w:rPr>
        <w:t>U okviru AOP-a 286,  u koloni  prethodne godine, iskazan je manjak prihoda poslovanja u iznosu od 3.277.975 kn. Nakon obvezne korekcije poslovnog rezultata provedene temeljem članka 82. Pravilnika o proračunskom računovodstvu u 2020. godini u iznosu od 5.284.534 kn te prenesenog viška prihoda iz prethodnih godina odnosno iz 2019.g. u iznosu od 10.017.142 kn ostvareni rezultat od poslovanja 2020. godine bio je u konačnici pozitivan i iznosio je 1.454.633 kn. Navedeni iznos ostvarenog rezultata poslovanja iz 2020. godine  od 1.454.633 kn naveden je u okviru AOP-u 241 bilance Ustanove u koloni prethodne godine te istovremeno iskazan u okviru AOP-a 287 obrasca PR-RAS-a tekuće godine kao preneseni višak prihoda poslovanja iz prethodne godine.</w:t>
      </w:r>
    </w:p>
    <w:p w14:paraId="322970ED" w14:textId="77777777" w:rsidR="00DE6285" w:rsidRPr="00437CA9" w:rsidRDefault="00DE6285" w:rsidP="00DE6285">
      <w:pPr>
        <w:pStyle w:val="BodyText2"/>
        <w:rPr>
          <w:rFonts w:ascii="TyponineSans Reg" w:hAnsi="TyponineSans Reg"/>
          <w:i w:val="0"/>
          <w:color w:val="FF0000"/>
          <w:sz w:val="24"/>
        </w:rPr>
      </w:pPr>
    </w:p>
    <w:p w14:paraId="7ADDF894" w14:textId="77777777" w:rsidR="00DE6285" w:rsidRPr="00C43732" w:rsidRDefault="00A1045D" w:rsidP="00DE6285">
      <w:pPr>
        <w:jc w:val="both"/>
        <w:rPr>
          <w:rFonts w:ascii="TyponineSans Reg" w:hAnsi="TyponineSans Reg"/>
          <w:b/>
          <w:sz w:val="24"/>
          <w:szCs w:val="24"/>
        </w:rPr>
      </w:pPr>
      <w:r w:rsidRPr="00C43732">
        <w:rPr>
          <w:rFonts w:ascii="TyponineSans Reg" w:hAnsi="TyponineSans Reg"/>
          <w:b/>
          <w:sz w:val="24"/>
          <w:szCs w:val="24"/>
        </w:rPr>
        <w:t>Bilješka br. 2.3. – Prihodi i rashodi od nefinancijske imovine</w:t>
      </w:r>
    </w:p>
    <w:p w14:paraId="309646B8" w14:textId="77777777" w:rsidR="00A1045D" w:rsidRPr="00C43732" w:rsidRDefault="00A1045D" w:rsidP="00DE6285">
      <w:pPr>
        <w:jc w:val="both"/>
        <w:rPr>
          <w:rFonts w:ascii="TyponineSans Reg" w:hAnsi="TyponineSans Reg"/>
          <w:b/>
          <w:sz w:val="24"/>
          <w:szCs w:val="24"/>
        </w:rPr>
      </w:pPr>
    </w:p>
    <w:p w14:paraId="1023CB8D" w14:textId="44AF6B94" w:rsidR="00ED2DE1" w:rsidRPr="00C43732" w:rsidRDefault="00CC2D30" w:rsidP="00DE6285">
      <w:pPr>
        <w:jc w:val="both"/>
        <w:rPr>
          <w:rFonts w:ascii="TyponineSans Reg" w:hAnsi="TyponineSans Reg"/>
          <w:sz w:val="24"/>
        </w:rPr>
      </w:pPr>
      <w:r w:rsidRPr="00C43732">
        <w:rPr>
          <w:rFonts w:ascii="TyponineSans Reg" w:hAnsi="TyponineSans Reg"/>
          <w:szCs w:val="22"/>
        </w:rPr>
        <w:t>U financijskim izvještajim</w:t>
      </w:r>
      <w:r w:rsidR="00ED2DE1" w:rsidRPr="00C43732">
        <w:rPr>
          <w:rFonts w:ascii="TyponineSans Reg" w:hAnsi="TyponineSans Reg"/>
          <w:szCs w:val="22"/>
        </w:rPr>
        <w:t>a za</w:t>
      </w:r>
      <w:r w:rsidR="00040327" w:rsidRPr="00C43732">
        <w:rPr>
          <w:rFonts w:ascii="TyponineSans Reg" w:hAnsi="TyponineSans Reg"/>
          <w:szCs w:val="22"/>
        </w:rPr>
        <w:t xml:space="preserve"> razdoblje od siječnja do prosinca</w:t>
      </w:r>
      <w:r w:rsidR="00C21554" w:rsidRPr="00C43732">
        <w:rPr>
          <w:rFonts w:ascii="TyponineSans Reg" w:hAnsi="TyponineSans Reg"/>
          <w:szCs w:val="22"/>
        </w:rPr>
        <w:t xml:space="preserve"> 20</w:t>
      </w:r>
      <w:r w:rsidR="00A663E3" w:rsidRPr="00C43732">
        <w:rPr>
          <w:rFonts w:ascii="TyponineSans Reg" w:hAnsi="TyponineSans Reg"/>
          <w:szCs w:val="22"/>
        </w:rPr>
        <w:t>2</w:t>
      </w:r>
      <w:r w:rsidR="00C43732" w:rsidRPr="00C43732">
        <w:rPr>
          <w:rFonts w:ascii="TyponineSans Reg" w:hAnsi="TyponineSans Reg"/>
          <w:szCs w:val="22"/>
        </w:rPr>
        <w:t>1</w:t>
      </w:r>
      <w:r w:rsidR="00ED2DE1" w:rsidRPr="00C43732">
        <w:rPr>
          <w:rFonts w:ascii="TyponineSans Reg" w:hAnsi="TyponineSans Reg"/>
          <w:szCs w:val="22"/>
        </w:rPr>
        <w:t>. godine</w:t>
      </w:r>
      <w:r w:rsidRPr="00C43732">
        <w:rPr>
          <w:rFonts w:ascii="TyponineSans Reg" w:hAnsi="TyponineSans Reg"/>
          <w:szCs w:val="22"/>
        </w:rPr>
        <w:t xml:space="preserve"> rashodi za nabav</w:t>
      </w:r>
      <w:r w:rsidR="00C96509" w:rsidRPr="00C43732">
        <w:rPr>
          <w:rFonts w:ascii="TyponineSans Reg" w:hAnsi="TyponineSans Reg"/>
          <w:szCs w:val="22"/>
        </w:rPr>
        <w:t>k</w:t>
      </w:r>
      <w:r w:rsidRPr="00C43732">
        <w:rPr>
          <w:rFonts w:ascii="TyponineSans Reg" w:hAnsi="TyponineSans Reg"/>
          <w:szCs w:val="22"/>
        </w:rPr>
        <w:t xml:space="preserve">u nefinancijske imovine Ustanove </w:t>
      </w:r>
      <w:r w:rsidR="00820379" w:rsidRPr="00C43732">
        <w:rPr>
          <w:rFonts w:ascii="TyponineSans Reg" w:hAnsi="TyponineSans Reg"/>
          <w:szCs w:val="22"/>
        </w:rPr>
        <w:t>evidentirani</w:t>
      </w:r>
      <w:r w:rsidRPr="00C43732">
        <w:rPr>
          <w:rFonts w:ascii="TyponineSans Reg" w:hAnsi="TyponineSans Reg"/>
          <w:szCs w:val="22"/>
        </w:rPr>
        <w:t xml:space="preserve"> s</w:t>
      </w:r>
      <w:r w:rsidR="00820379" w:rsidRPr="00C43732">
        <w:rPr>
          <w:rFonts w:ascii="TyponineSans Reg" w:hAnsi="TyponineSans Reg"/>
          <w:szCs w:val="22"/>
        </w:rPr>
        <w:t>u</w:t>
      </w:r>
      <w:r w:rsidRPr="00C43732">
        <w:rPr>
          <w:rFonts w:ascii="TyponineSans Reg" w:hAnsi="TyponineSans Reg"/>
          <w:szCs w:val="22"/>
        </w:rPr>
        <w:t xml:space="preserve"> u skladu sa odredbama Pravilnika o proračunskom računovodstvu </w:t>
      </w:r>
      <w:r w:rsidR="00820379" w:rsidRPr="00C43732">
        <w:rPr>
          <w:rFonts w:ascii="TyponineSans Reg" w:hAnsi="TyponineSans Reg"/>
          <w:szCs w:val="22"/>
        </w:rPr>
        <w:t xml:space="preserve">i Računskom planu i </w:t>
      </w:r>
      <w:r w:rsidR="00CC5C41" w:rsidRPr="00C43732">
        <w:rPr>
          <w:rFonts w:ascii="TyponineSans Reg" w:hAnsi="TyponineSans Reg"/>
          <w:szCs w:val="22"/>
        </w:rPr>
        <w:t xml:space="preserve">u cjelosti </w:t>
      </w:r>
      <w:r w:rsidR="00820379" w:rsidRPr="00C43732">
        <w:rPr>
          <w:rFonts w:ascii="TyponineSans Reg" w:hAnsi="TyponineSans Reg"/>
          <w:szCs w:val="22"/>
        </w:rPr>
        <w:t>priznati</w:t>
      </w:r>
      <w:r w:rsidRPr="00C43732">
        <w:rPr>
          <w:rFonts w:ascii="TyponineSans Reg" w:hAnsi="TyponineSans Reg"/>
          <w:szCs w:val="22"/>
        </w:rPr>
        <w:t xml:space="preserve"> </w:t>
      </w:r>
      <w:r w:rsidR="00ED2DE1" w:rsidRPr="00C43732">
        <w:rPr>
          <w:rFonts w:ascii="TyponineSans Reg" w:hAnsi="TyponineSans Reg"/>
          <w:szCs w:val="22"/>
        </w:rPr>
        <w:t xml:space="preserve"> </w:t>
      </w:r>
      <w:r w:rsidR="00E50B9C" w:rsidRPr="00C43732">
        <w:rPr>
          <w:rFonts w:ascii="TyponineSans Reg" w:hAnsi="TyponineSans Reg"/>
          <w:szCs w:val="22"/>
        </w:rPr>
        <w:t>u</w:t>
      </w:r>
      <w:r w:rsidRPr="00C43732">
        <w:rPr>
          <w:rFonts w:ascii="TyponineSans Reg" w:hAnsi="TyponineSans Reg"/>
          <w:szCs w:val="22"/>
        </w:rPr>
        <w:t xml:space="preserve"> trenutku</w:t>
      </w:r>
      <w:r w:rsidRPr="00C43732">
        <w:rPr>
          <w:rFonts w:ascii="TyponineSans Reg" w:hAnsi="TyponineSans Reg"/>
          <w:sz w:val="24"/>
        </w:rPr>
        <w:t xml:space="preserve"> nabav</w:t>
      </w:r>
      <w:r w:rsidR="00E50B9C" w:rsidRPr="00C43732">
        <w:rPr>
          <w:rFonts w:ascii="TyponineSans Reg" w:hAnsi="TyponineSans Reg"/>
          <w:sz w:val="24"/>
        </w:rPr>
        <w:t>k</w:t>
      </w:r>
      <w:r w:rsidR="00ED2DE1" w:rsidRPr="00C43732">
        <w:rPr>
          <w:rFonts w:ascii="TyponineSans Reg" w:hAnsi="TyponineSans Reg"/>
          <w:sz w:val="24"/>
        </w:rPr>
        <w:t>e</w:t>
      </w:r>
      <w:r w:rsidRPr="00C43732">
        <w:rPr>
          <w:rFonts w:ascii="TyponineSans Reg" w:hAnsi="TyponineSans Reg"/>
          <w:sz w:val="24"/>
        </w:rPr>
        <w:t>.</w:t>
      </w:r>
    </w:p>
    <w:p w14:paraId="4CE023B9" w14:textId="77777777" w:rsidR="00A663E3" w:rsidRPr="00041052" w:rsidRDefault="00A663E3" w:rsidP="00A663E3">
      <w:pPr>
        <w:pStyle w:val="BodyText2"/>
        <w:rPr>
          <w:rFonts w:ascii="TyponineSans Reg" w:hAnsi="TyponineSans Reg"/>
          <w:i w:val="0"/>
          <w:color w:val="548DD4" w:themeColor="text2" w:themeTint="99"/>
          <w:sz w:val="24"/>
        </w:rPr>
      </w:pPr>
    </w:p>
    <w:p w14:paraId="056A766E" w14:textId="7F70CE89" w:rsidR="00A663E3" w:rsidRPr="00C43732" w:rsidRDefault="00A663E3" w:rsidP="00A663E3">
      <w:pPr>
        <w:pStyle w:val="BodyText2"/>
        <w:rPr>
          <w:rFonts w:ascii="TyponineSans Reg" w:hAnsi="TyponineSans Reg"/>
          <w:b/>
          <w:i w:val="0"/>
          <w:szCs w:val="22"/>
        </w:rPr>
      </w:pPr>
      <w:r w:rsidRPr="00C43732">
        <w:rPr>
          <w:rFonts w:ascii="TyponineSans Reg" w:hAnsi="TyponineSans Reg"/>
          <w:b/>
          <w:i w:val="0"/>
          <w:szCs w:val="22"/>
        </w:rPr>
        <w:t>AOP 2</w:t>
      </w:r>
      <w:r w:rsidR="00C43732" w:rsidRPr="00C43732">
        <w:rPr>
          <w:rFonts w:ascii="TyponineSans Reg" w:hAnsi="TyponineSans Reg"/>
          <w:b/>
          <w:i w:val="0"/>
          <w:szCs w:val="22"/>
        </w:rPr>
        <w:t>92</w:t>
      </w:r>
    </w:p>
    <w:p w14:paraId="604DFDC6" w14:textId="77777777" w:rsidR="00A663E3" w:rsidRPr="00C43732" w:rsidRDefault="00A663E3" w:rsidP="00A663E3">
      <w:pPr>
        <w:pStyle w:val="BodyText2"/>
        <w:rPr>
          <w:rFonts w:ascii="TyponineSans Reg" w:hAnsi="TyponineSans Reg"/>
          <w:b/>
          <w:i w:val="0"/>
          <w:szCs w:val="22"/>
        </w:rPr>
      </w:pPr>
      <w:r w:rsidRPr="00C43732">
        <w:rPr>
          <w:rFonts w:ascii="TyponineSans Reg" w:hAnsi="TyponineSans Reg"/>
          <w:b/>
          <w:i w:val="0"/>
          <w:szCs w:val="22"/>
        </w:rPr>
        <w:t>Prihodi od prodaje nefinancijske imovine</w:t>
      </w:r>
    </w:p>
    <w:p w14:paraId="2B0D8E64" w14:textId="77777777" w:rsidR="00A663E3" w:rsidRPr="00C43732" w:rsidRDefault="00A663E3" w:rsidP="00A663E3">
      <w:pPr>
        <w:pStyle w:val="BodyText2"/>
        <w:rPr>
          <w:rFonts w:ascii="TyponineSans Reg" w:hAnsi="TyponineSans Reg"/>
          <w:b/>
          <w:i w:val="0"/>
          <w:szCs w:val="22"/>
        </w:rPr>
      </w:pPr>
    </w:p>
    <w:p w14:paraId="421C56AA" w14:textId="1E256358" w:rsidR="00A663E3" w:rsidRPr="00C43732" w:rsidRDefault="00A663E3" w:rsidP="00A663E3">
      <w:pPr>
        <w:pStyle w:val="BodyText2"/>
        <w:rPr>
          <w:rFonts w:ascii="TyponineSans Reg" w:hAnsi="TyponineSans Reg"/>
          <w:i w:val="0"/>
          <w:szCs w:val="22"/>
        </w:rPr>
      </w:pPr>
      <w:r w:rsidRPr="00C43732">
        <w:rPr>
          <w:rFonts w:ascii="TyponineSans Reg" w:hAnsi="TyponineSans Reg"/>
          <w:i w:val="0"/>
          <w:szCs w:val="22"/>
        </w:rPr>
        <w:t>Prihodi od prodaje nefinancijske imovine u razdoblju od siječnja do prosinca 202</w:t>
      </w:r>
      <w:r w:rsidR="00C43732" w:rsidRPr="00C43732">
        <w:rPr>
          <w:rFonts w:ascii="TyponineSans Reg" w:hAnsi="TyponineSans Reg"/>
          <w:i w:val="0"/>
          <w:szCs w:val="22"/>
        </w:rPr>
        <w:t>1</w:t>
      </w:r>
      <w:r w:rsidRPr="00C43732">
        <w:rPr>
          <w:rFonts w:ascii="TyponineSans Reg" w:hAnsi="TyponineSans Reg"/>
          <w:i w:val="0"/>
          <w:szCs w:val="22"/>
        </w:rPr>
        <w:t>. godine ostvareni su u ukupnom iznosu od</w:t>
      </w:r>
      <w:r w:rsidR="00C43732" w:rsidRPr="00C43732">
        <w:rPr>
          <w:rFonts w:ascii="TyponineSans Reg" w:hAnsi="TyponineSans Reg"/>
          <w:i w:val="0"/>
          <w:szCs w:val="22"/>
        </w:rPr>
        <w:t xml:space="preserve"> 338.641</w:t>
      </w:r>
      <w:r w:rsidRPr="00C43732">
        <w:rPr>
          <w:rFonts w:ascii="TyponineSans Reg" w:hAnsi="TyponineSans Reg"/>
          <w:i w:val="0"/>
          <w:szCs w:val="22"/>
        </w:rPr>
        <w:t xml:space="preserve"> kn i odnose </w:t>
      </w:r>
      <w:r w:rsidR="00C43732" w:rsidRPr="00C43732">
        <w:rPr>
          <w:rFonts w:ascii="TyponineSans Reg" w:hAnsi="TyponineSans Reg"/>
          <w:i w:val="0"/>
          <w:szCs w:val="22"/>
        </w:rPr>
        <w:t xml:space="preserve">se </w:t>
      </w:r>
      <w:r w:rsidRPr="00C43732">
        <w:rPr>
          <w:rFonts w:ascii="TyponineSans Reg" w:hAnsi="TyponineSans Reg"/>
          <w:i w:val="0"/>
          <w:szCs w:val="22"/>
        </w:rPr>
        <w:t>na prodaju osnovnog stada</w:t>
      </w:r>
      <w:r w:rsidR="00C43732" w:rsidRPr="00C43732">
        <w:rPr>
          <w:rFonts w:ascii="TyponineSans Reg" w:hAnsi="TyponineSans Reg"/>
          <w:i w:val="0"/>
          <w:szCs w:val="22"/>
        </w:rPr>
        <w:t xml:space="preserve"> u iznosu od 157.860 kn te 167.100 kn na prihode od prodaje prijevoznih sredstava, odnosno prodaje rashodovanog glisera</w:t>
      </w:r>
      <w:r w:rsidRPr="00C43732">
        <w:rPr>
          <w:rFonts w:ascii="TyponineSans Reg" w:hAnsi="TyponineSans Reg"/>
          <w:i w:val="0"/>
          <w:szCs w:val="22"/>
        </w:rPr>
        <w:t>. Isti su veći za</w:t>
      </w:r>
      <w:r w:rsidR="00C43732" w:rsidRPr="00C43732">
        <w:rPr>
          <w:rFonts w:ascii="TyponineSans Reg" w:hAnsi="TyponineSans Reg"/>
          <w:i w:val="0"/>
          <w:szCs w:val="22"/>
        </w:rPr>
        <w:t xml:space="preserve"> 227,09</w:t>
      </w:r>
      <w:r w:rsidRPr="00C43732">
        <w:rPr>
          <w:rFonts w:ascii="TyponineSans Reg" w:hAnsi="TyponineSans Reg"/>
          <w:i w:val="0"/>
          <w:szCs w:val="22"/>
        </w:rPr>
        <w:t>% odnosno</w:t>
      </w:r>
      <w:r w:rsidR="00C43732" w:rsidRPr="00C43732">
        <w:rPr>
          <w:rFonts w:ascii="TyponineSans Reg" w:hAnsi="TyponineSans Reg"/>
          <w:i w:val="0"/>
          <w:szCs w:val="22"/>
        </w:rPr>
        <w:t xml:space="preserve"> za 235.109</w:t>
      </w:r>
      <w:r w:rsidRPr="00C43732">
        <w:rPr>
          <w:rFonts w:ascii="TyponineSans Reg" w:hAnsi="TyponineSans Reg"/>
          <w:i w:val="0"/>
          <w:szCs w:val="22"/>
        </w:rPr>
        <w:t xml:space="preserve"> kn u odnosu na</w:t>
      </w:r>
      <w:r w:rsidR="00C43732" w:rsidRPr="00C43732">
        <w:rPr>
          <w:rFonts w:ascii="TyponineSans Reg" w:hAnsi="TyponineSans Reg"/>
          <w:i w:val="0"/>
          <w:szCs w:val="22"/>
        </w:rPr>
        <w:t xml:space="preserve"> ostvarene u 2020. godini.</w:t>
      </w:r>
    </w:p>
    <w:p w14:paraId="21FE5119" w14:textId="77777777" w:rsidR="002B2842" w:rsidRDefault="002B2842" w:rsidP="00A663E3">
      <w:pPr>
        <w:pStyle w:val="BodyText2"/>
        <w:rPr>
          <w:rFonts w:ascii="TyponineSans Reg" w:hAnsi="TyponineSans Reg"/>
          <w:b/>
          <w:i w:val="0"/>
          <w:szCs w:val="22"/>
        </w:rPr>
      </w:pPr>
    </w:p>
    <w:p w14:paraId="202989A4" w14:textId="77777777" w:rsidR="006170D2" w:rsidRDefault="006170D2" w:rsidP="00A663E3">
      <w:pPr>
        <w:pStyle w:val="BodyText2"/>
        <w:rPr>
          <w:rFonts w:ascii="TyponineSans Reg" w:hAnsi="TyponineSans Reg"/>
          <w:b/>
          <w:i w:val="0"/>
          <w:szCs w:val="22"/>
        </w:rPr>
      </w:pPr>
    </w:p>
    <w:p w14:paraId="24258304" w14:textId="22AB4958" w:rsidR="00A663E3" w:rsidRPr="00E57562" w:rsidRDefault="00A663E3" w:rsidP="00A663E3">
      <w:pPr>
        <w:pStyle w:val="BodyText2"/>
        <w:rPr>
          <w:rFonts w:ascii="TyponineSans Reg" w:hAnsi="TyponineSans Reg"/>
          <w:b/>
          <w:i w:val="0"/>
          <w:szCs w:val="22"/>
        </w:rPr>
      </w:pPr>
      <w:r w:rsidRPr="00E57562">
        <w:rPr>
          <w:rFonts w:ascii="TyponineSans Reg" w:hAnsi="TyponineSans Reg"/>
          <w:b/>
          <w:i w:val="0"/>
          <w:szCs w:val="22"/>
        </w:rPr>
        <w:lastRenderedPageBreak/>
        <w:t>AOP 34</w:t>
      </w:r>
      <w:r w:rsidR="009A38A9" w:rsidRPr="00E57562">
        <w:rPr>
          <w:rFonts w:ascii="TyponineSans Reg" w:hAnsi="TyponineSans Reg"/>
          <w:b/>
          <w:i w:val="0"/>
          <w:szCs w:val="22"/>
        </w:rPr>
        <w:t>4</w:t>
      </w:r>
    </w:p>
    <w:p w14:paraId="4E20063F" w14:textId="67E21B85" w:rsidR="00A663E3" w:rsidRDefault="00A663E3" w:rsidP="00A663E3">
      <w:pPr>
        <w:pStyle w:val="BodyText2"/>
        <w:rPr>
          <w:rFonts w:ascii="TyponineSans Reg" w:hAnsi="TyponineSans Reg"/>
          <w:b/>
          <w:sz w:val="24"/>
          <w:szCs w:val="24"/>
        </w:rPr>
      </w:pPr>
      <w:r w:rsidRPr="00A1592A">
        <w:rPr>
          <w:rFonts w:ascii="TyponineSans Reg" w:hAnsi="TyponineSans Reg"/>
          <w:b/>
          <w:sz w:val="24"/>
          <w:szCs w:val="24"/>
        </w:rPr>
        <w:t>Rashodi za nabavu nefinancijske imovine</w:t>
      </w:r>
    </w:p>
    <w:p w14:paraId="6846B26D" w14:textId="77777777" w:rsidR="00B777E2" w:rsidRPr="00A1592A" w:rsidRDefault="00B777E2" w:rsidP="00A663E3">
      <w:pPr>
        <w:pStyle w:val="BodyText2"/>
        <w:rPr>
          <w:rFonts w:ascii="TyponineSans Reg" w:hAnsi="TyponineSans Reg"/>
          <w:b/>
          <w:sz w:val="24"/>
          <w:szCs w:val="24"/>
        </w:rPr>
      </w:pPr>
    </w:p>
    <w:p w14:paraId="63C7FA7D" w14:textId="7BE5130D" w:rsidR="009A38A9" w:rsidRDefault="00A663E3" w:rsidP="00A663E3">
      <w:pPr>
        <w:pStyle w:val="BodyText2"/>
        <w:rPr>
          <w:rFonts w:ascii="TyponineSans Reg" w:hAnsi="TyponineSans Reg"/>
          <w:szCs w:val="22"/>
        </w:rPr>
      </w:pPr>
      <w:r w:rsidRPr="009A38A9">
        <w:rPr>
          <w:rFonts w:ascii="TyponineSans Reg" w:hAnsi="TyponineSans Reg"/>
          <w:szCs w:val="22"/>
        </w:rPr>
        <w:t xml:space="preserve">Rashodi za nabavu nefinancijske imovine iskazani su u ukupnom iznosu od </w:t>
      </w:r>
      <w:r w:rsidR="009A38A9">
        <w:rPr>
          <w:rFonts w:ascii="TyponineSans Reg" w:hAnsi="TyponineSans Reg"/>
          <w:szCs w:val="22"/>
        </w:rPr>
        <w:t>28.977.918</w:t>
      </w:r>
      <w:r w:rsidRPr="009A38A9">
        <w:rPr>
          <w:rFonts w:ascii="TyponineSans Reg" w:hAnsi="TyponineSans Reg"/>
          <w:szCs w:val="22"/>
        </w:rPr>
        <w:t xml:space="preserve">1 kn i znatno su veći u odnosu na prethodnu godinu kada su iznosili </w:t>
      </w:r>
      <w:r w:rsidR="009A38A9">
        <w:rPr>
          <w:rFonts w:ascii="TyponineSans Reg" w:hAnsi="TyponineSans Reg"/>
          <w:szCs w:val="22"/>
        </w:rPr>
        <w:t>10.603.551 kn</w:t>
      </w:r>
      <w:r w:rsidRPr="009A38A9">
        <w:rPr>
          <w:rFonts w:ascii="TyponineSans Reg" w:hAnsi="TyponineSans Reg"/>
          <w:szCs w:val="22"/>
        </w:rPr>
        <w:t>.</w:t>
      </w:r>
      <w:r w:rsidR="009A38A9">
        <w:rPr>
          <w:rFonts w:ascii="TyponineSans Reg" w:hAnsi="TyponineSans Reg"/>
          <w:szCs w:val="22"/>
        </w:rPr>
        <w:t xml:space="preserve"> Njih čine r</w:t>
      </w:r>
      <w:r w:rsidRPr="009A38A9">
        <w:rPr>
          <w:rFonts w:ascii="TyponineSans Reg" w:hAnsi="TyponineSans Reg"/>
          <w:szCs w:val="22"/>
        </w:rPr>
        <w:t xml:space="preserve">ashodi za nabavu </w:t>
      </w:r>
      <w:r w:rsidR="009A38A9">
        <w:rPr>
          <w:rFonts w:ascii="TyponineSans Reg" w:hAnsi="TyponineSans Reg"/>
          <w:szCs w:val="22"/>
        </w:rPr>
        <w:t xml:space="preserve"> proizvedene dugotrajne imovine ostvarene su u iznosu od 14.221.066 kn i veći su za 6.731.313 kn u odnosu na ostvarenje 2020. godine i rashodi za dodatna ulaganja na nefinancijskog imovini koji su ostvareni u iznosu od 14.756.852 kn i veći su za 11.643.054 kn u odnosu na ostvarene u 2020. godini.</w:t>
      </w:r>
    </w:p>
    <w:p w14:paraId="3739EFC7" w14:textId="77777777" w:rsidR="009A38A9" w:rsidRDefault="009A38A9" w:rsidP="00A663E3">
      <w:pPr>
        <w:pStyle w:val="BodyText2"/>
        <w:rPr>
          <w:rFonts w:ascii="TyponineSans Reg" w:hAnsi="TyponineSans Reg"/>
          <w:szCs w:val="22"/>
        </w:rPr>
      </w:pPr>
    </w:p>
    <w:p w14:paraId="3D9C77E7" w14:textId="44B07DDC" w:rsidR="00A663E3" w:rsidRDefault="009A38A9" w:rsidP="00A663E3">
      <w:pPr>
        <w:pStyle w:val="BodyText2"/>
        <w:rPr>
          <w:rFonts w:ascii="TyponineSans Reg" w:hAnsi="TyponineSans Reg"/>
          <w:szCs w:val="22"/>
        </w:rPr>
      </w:pPr>
      <w:r>
        <w:rPr>
          <w:rFonts w:ascii="TyponineSans Reg" w:hAnsi="TyponineSans Reg"/>
          <w:szCs w:val="22"/>
        </w:rPr>
        <w:t xml:space="preserve">Rashodi  </w:t>
      </w:r>
      <w:r w:rsidR="00A663E3" w:rsidRPr="009A38A9">
        <w:rPr>
          <w:rFonts w:ascii="TyponineSans Reg" w:hAnsi="TyponineSans Reg"/>
          <w:szCs w:val="22"/>
        </w:rPr>
        <w:t>nefinancijske imovine odnose se na sljedeće stavke rashoda:</w:t>
      </w:r>
    </w:p>
    <w:p w14:paraId="41D92F39" w14:textId="77777777" w:rsidR="009A38A9" w:rsidRPr="009A38A9" w:rsidRDefault="009A38A9" w:rsidP="00A663E3">
      <w:pPr>
        <w:pStyle w:val="BodyText2"/>
        <w:rPr>
          <w:rFonts w:ascii="TyponineSans Reg" w:hAnsi="TyponineSans Reg"/>
          <w:szCs w:val="22"/>
        </w:rPr>
      </w:pPr>
    </w:p>
    <w:p w14:paraId="36B0AAAA" w14:textId="399FFDB3" w:rsidR="00A663E3" w:rsidRPr="009A38A9" w:rsidRDefault="00A663E3" w:rsidP="00A663E3">
      <w:pPr>
        <w:pStyle w:val="BodyText2"/>
        <w:numPr>
          <w:ilvl w:val="0"/>
          <w:numId w:val="16"/>
        </w:numPr>
        <w:ind w:left="1070"/>
        <w:rPr>
          <w:rFonts w:ascii="TyponineSans Reg" w:hAnsi="TyponineSans Reg"/>
          <w:szCs w:val="22"/>
        </w:rPr>
      </w:pPr>
      <w:r w:rsidRPr="009A38A9">
        <w:rPr>
          <w:rFonts w:ascii="TyponineSans Reg" w:hAnsi="TyponineSans Reg"/>
          <w:szCs w:val="22"/>
        </w:rPr>
        <w:t xml:space="preserve">Rashodi za nabavku i izgradnju poslovnih objekata koji iznose </w:t>
      </w:r>
      <w:r w:rsidR="009A38A9">
        <w:rPr>
          <w:rFonts w:ascii="TyponineSans Reg" w:hAnsi="TyponineSans Reg"/>
          <w:szCs w:val="22"/>
        </w:rPr>
        <w:t>86.000 kn</w:t>
      </w:r>
      <w:r w:rsidRPr="009A38A9">
        <w:rPr>
          <w:rFonts w:ascii="TyponineSans Reg" w:hAnsi="TyponineSans Reg"/>
          <w:szCs w:val="22"/>
        </w:rPr>
        <w:t>.</w:t>
      </w:r>
    </w:p>
    <w:p w14:paraId="32901C1E" w14:textId="77777777" w:rsidR="00A663E3" w:rsidRPr="00E57562" w:rsidRDefault="00A663E3" w:rsidP="00E57562">
      <w:pPr>
        <w:pStyle w:val="BodyText2"/>
        <w:ind w:left="1070"/>
        <w:rPr>
          <w:rFonts w:ascii="TyponineSans Reg" w:hAnsi="TyponineSans Reg"/>
          <w:szCs w:val="22"/>
        </w:rPr>
      </w:pPr>
    </w:p>
    <w:p w14:paraId="7CFC737D" w14:textId="0F5B2882" w:rsidR="00A663E3" w:rsidRPr="00E57562" w:rsidRDefault="00A663E3" w:rsidP="00E57562">
      <w:pPr>
        <w:pStyle w:val="BodyText2"/>
        <w:numPr>
          <w:ilvl w:val="0"/>
          <w:numId w:val="16"/>
        </w:numPr>
        <w:ind w:left="1070"/>
        <w:rPr>
          <w:rFonts w:ascii="TyponineSans Reg" w:hAnsi="TyponineSans Reg"/>
          <w:szCs w:val="22"/>
        </w:rPr>
      </w:pPr>
      <w:r w:rsidRPr="00E57562">
        <w:rPr>
          <w:rFonts w:ascii="TyponineSans Reg" w:hAnsi="TyponineSans Reg"/>
          <w:szCs w:val="22"/>
        </w:rPr>
        <w:t>Rashodi za nabavku postrojenja i opreme u iznosu od 2.</w:t>
      </w:r>
      <w:r w:rsidR="009A38A9" w:rsidRPr="00E57562">
        <w:rPr>
          <w:rFonts w:ascii="TyponineSans Reg" w:hAnsi="TyponineSans Reg"/>
          <w:szCs w:val="22"/>
        </w:rPr>
        <w:t>844.617</w:t>
      </w:r>
      <w:r w:rsidRPr="00E57562">
        <w:rPr>
          <w:rFonts w:ascii="TyponineSans Reg" w:hAnsi="TyponineSans Reg"/>
          <w:szCs w:val="22"/>
        </w:rPr>
        <w:t xml:space="preserve"> kn</w:t>
      </w:r>
      <w:r w:rsidR="009A38A9" w:rsidRPr="00E57562">
        <w:rPr>
          <w:rFonts w:ascii="TyponineSans Reg" w:hAnsi="TyponineSans Reg"/>
          <w:szCs w:val="22"/>
        </w:rPr>
        <w:t xml:space="preserve"> veći </w:t>
      </w:r>
      <w:r w:rsidRPr="00E57562">
        <w:rPr>
          <w:rFonts w:ascii="TyponineSans Reg" w:hAnsi="TyponineSans Reg"/>
          <w:szCs w:val="22"/>
        </w:rPr>
        <w:t xml:space="preserve"> su u odnosu na prethodnu godinu za 2</w:t>
      </w:r>
      <w:r w:rsidR="009A38A9" w:rsidRPr="00E57562">
        <w:rPr>
          <w:rFonts w:ascii="TyponineSans Reg" w:hAnsi="TyponineSans Reg"/>
          <w:szCs w:val="22"/>
        </w:rPr>
        <w:t>5,46</w:t>
      </w:r>
      <w:r w:rsidRPr="00E57562">
        <w:rPr>
          <w:rFonts w:ascii="TyponineSans Reg" w:hAnsi="TyponineSans Reg"/>
          <w:szCs w:val="22"/>
        </w:rPr>
        <w:t>%. Od ukupno iskazanih rashoda najviše se ulagalo u</w:t>
      </w:r>
      <w:r w:rsidR="00E57562" w:rsidRPr="00E57562">
        <w:rPr>
          <w:rFonts w:ascii="TyponineSans Reg" w:hAnsi="TyponineSans Reg"/>
          <w:szCs w:val="22"/>
        </w:rPr>
        <w:t xml:space="preserve"> uređaje, strojve i opremu za ostale namjene u iznosu od 1.966709 kn, za uredsku opremu 105.091 kn, komunikacijsku opremu 172.895 kn, opremu za održavanje i zaštitu 343.501 kn , instrumente i uređaje 233.775 kn</w:t>
      </w:r>
      <w:r w:rsidRPr="00E57562">
        <w:rPr>
          <w:rFonts w:ascii="TyponineSans Reg" w:hAnsi="TyponineSans Reg"/>
          <w:szCs w:val="22"/>
        </w:rPr>
        <w:t xml:space="preserve"> </w:t>
      </w:r>
    </w:p>
    <w:p w14:paraId="7BE7713A" w14:textId="322C5988" w:rsidR="00A663E3" w:rsidRPr="00E57562" w:rsidRDefault="00A663E3" w:rsidP="00A663E3">
      <w:pPr>
        <w:pStyle w:val="BodyText2"/>
        <w:numPr>
          <w:ilvl w:val="0"/>
          <w:numId w:val="16"/>
        </w:numPr>
        <w:ind w:left="1070"/>
        <w:rPr>
          <w:rFonts w:ascii="TyponineSans Reg" w:hAnsi="TyponineSans Reg"/>
          <w:szCs w:val="22"/>
        </w:rPr>
      </w:pPr>
      <w:r w:rsidRPr="00E57562">
        <w:rPr>
          <w:rFonts w:ascii="TyponineSans Reg" w:hAnsi="TyponineSans Reg"/>
          <w:szCs w:val="22"/>
        </w:rPr>
        <w:t xml:space="preserve">Rashodi za nabavku prijevoznih sredstava u iznosu od </w:t>
      </w:r>
      <w:r w:rsidR="00E57562" w:rsidRPr="00E57562">
        <w:rPr>
          <w:rFonts w:ascii="TyponineSans Reg" w:hAnsi="TyponineSans Reg"/>
          <w:szCs w:val="22"/>
        </w:rPr>
        <w:t xml:space="preserve">10.953.149 </w:t>
      </w:r>
      <w:r w:rsidRPr="00E57562">
        <w:rPr>
          <w:rFonts w:ascii="TyponineSans Reg" w:hAnsi="TyponineSans Reg"/>
          <w:szCs w:val="22"/>
        </w:rPr>
        <w:t xml:space="preserve"> kn koji su kao takvi znatno veći  u odnosu na prethodnu godinu kada su isti iznosili </w:t>
      </w:r>
      <w:r w:rsidR="00E57562" w:rsidRPr="00E57562">
        <w:rPr>
          <w:rFonts w:ascii="TyponineSans Reg" w:hAnsi="TyponineSans Reg"/>
          <w:szCs w:val="22"/>
        </w:rPr>
        <w:t>4.761.713</w:t>
      </w:r>
      <w:r w:rsidRPr="00E57562">
        <w:rPr>
          <w:rFonts w:ascii="TyponineSans Reg" w:hAnsi="TyponineSans Reg"/>
          <w:szCs w:val="22"/>
        </w:rPr>
        <w:t xml:space="preserve"> kn. Povećanje rashoda za nabavku prijevoznih sredstava odnosi se na rashode za gradnju broda u iznosu od </w:t>
      </w:r>
      <w:r w:rsidR="00E57562" w:rsidRPr="00E57562">
        <w:rPr>
          <w:rFonts w:ascii="TyponineSans Reg" w:hAnsi="TyponineSans Reg"/>
          <w:szCs w:val="22"/>
        </w:rPr>
        <w:t>8.273.256</w:t>
      </w:r>
      <w:r w:rsidRPr="00E57562">
        <w:rPr>
          <w:rFonts w:ascii="TyponineSans Reg" w:hAnsi="TyponineSans Reg"/>
          <w:szCs w:val="22"/>
        </w:rPr>
        <w:t xml:space="preserve"> kn čija se nabava u visini 85% prihvatljivih troškova sufinancira  iz primljenog predujma od Europske unije temeljem provedbe projekta Novo ruho Brijuna iz programa Konkurentnost i kohezija 2014 – 2020.  Prijevozna sredstva u cestovnom prometu nabavljena su u iznosu od </w:t>
      </w:r>
      <w:r w:rsidR="00E57562" w:rsidRPr="00E57562">
        <w:rPr>
          <w:rFonts w:ascii="TyponineSans Reg" w:hAnsi="TyponineSans Reg"/>
          <w:szCs w:val="22"/>
        </w:rPr>
        <w:t>2.679.893</w:t>
      </w:r>
      <w:r w:rsidRPr="00E57562">
        <w:rPr>
          <w:rFonts w:ascii="TyponineSans Reg" w:hAnsi="TyponineSans Reg"/>
          <w:szCs w:val="22"/>
        </w:rPr>
        <w:t xml:space="preserve"> kn i odnose se na novo nabavljene </w:t>
      </w:r>
      <w:r w:rsidR="00E57562" w:rsidRPr="00E57562">
        <w:rPr>
          <w:rFonts w:ascii="TyponineSans Reg" w:hAnsi="TyponineSans Reg"/>
          <w:szCs w:val="22"/>
        </w:rPr>
        <w:t xml:space="preserve">24 komada elektrovozila, </w:t>
      </w:r>
      <w:r w:rsidRPr="00E57562">
        <w:rPr>
          <w:rFonts w:ascii="TyponineSans Reg" w:hAnsi="TyponineSans Reg"/>
          <w:szCs w:val="22"/>
        </w:rPr>
        <w:t>bicikle, elektro romobile i osobno vozilo.</w:t>
      </w:r>
      <w:r w:rsidR="00E57562" w:rsidRPr="00E57562">
        <w:rPr>
          <w:rFonts w:ascii="TyponineSans Reg" w:hAnsi="TyponineSans Reg"/>
          <w:szCs w:val="22"/>
        </w:rPr>
        <w:t xml:space="preserve"> </w:t>
      </w:r>
    </w:p>
    <w:p w14:paraId="78EFB0C8" w14:textId="4A0AE91C" w:rsidR="00A663E3" w:rsidRPr="00E57562" w:rsidRDefault="00A663E3" w:rsidP="00A663E3">
      <w:pPr>
        <w:pStyle w:val="BodyText2"/>
        <w:numPr>
          <w:ilvl w:val="0"/>
          <w:numId w:val="16"/>
        </w:numPr>
        <w:ind w:left="1070"/>
        <w:rPr>
          <w:rFonts w:ascii="TyponineSans Reg" w:hAnsi="TyponineSans Reg"/>
          <w:szCs w:val="22"/>
        </w:rPr>
      </w:pPr>
      <w:r w:rsidRPr="00E57562">
        <w:rPr>
          <w:rFonts w:ascii="TyponineSans Reg" w:hAnsi="TyponineSans Reg"/>
          <w:szCs w:val="22"/>
        </w:rPr>
        <w:t xml:space="preserve">Rashodi za nabavku osnovnog stada u iznosu od </w:t>
      </w:r>
      <w:r w:rsidR="00E57562" w:rsidRPr="00E57562">
        <w:rPr>
          <w:rFonts w:ascii="TyponineSans Reg" w:hAnsi="TyponineSans Reg"/>
          <w:szCs w:val="22"/>
        </w:rPr>
        <w:t>24.3</w:t>
      </w:r>
      <w:r w:rsidRPr="00E57562">
        <w:rPr>
          <w:rFonts w:ascii="TyponineSans Reg" w:hAnsi="TyponineSans Reg"/>
          <w:szCs w:val="22"/>
        </w:rPr>
        <w:t>00 kn odnose na nabavu jelena, goveda i ovce u svrhu obnove životinjskog fonda nacionalnog parka.</w:t>
      </w:r>
    </w:p>
    <w:p w14:paraId="1E5DEC75" w14:textId="77777777" w:rsidR="00A663E3" w:rsidRPr="00E57562" w:rsidRDefault="00A663E3" w:rsidP="00A663E3">
      <w:pPr>
        <w:pStyle w:val="BodyText2"/>
        <w:ind w:left="720"/>
        <w:rPr>
          <w:rFonts w:ascii="TyponineSans Reg" w:hAnsi="TyponineSans Reg"/>
          <w:szCs w:val="22"/>
        </w:rPr>
      </w:pPr>
    </w:p>
    <w:p w14:paraId="14450B77" w14:textId="1B2B842F" w:rsidR="00A663E3" w:rsidRPr="00E57562" w:rsidRDefault="00A663E3" w:rsidP="00A663E3">
      <w:pPr>
        <w:pStyle w:val="BodyText2"/>
        <w:numPr>
          <w:ilvl w:val="0"/>
          <w:numId w:val="16"/>
        </w:numPr>
        <w:ind w:left="1070"/>
        <w:rPr>
          <w:rFonts w:ascii="TyponineSans Reg" w:hAnsi="TyponineSans Reg"/>
          <w:szCs w:val="22"/>
        </w:rPr>
      </w:pPr>
      <w:r w:rsidRPr="00E57562">
        <w:rPr>
          <w:rFonts w:ascii="TyponineSans Reg" w:hAnsi="TyponineSans Reg"/>
          <w:szCs w:val="22"/>
        </w:rPr>
        <w:t>Ulaganja u nematerijalnu</w:t>
      </w:r>
      <w:r w:rsidR="00E57562" w:rsidRPr="00E57562">
        <w:rPr>
          <w:rFonts w:ascii="TyponineSans Reg" w:hAnsi="TyponineSans Reg"/>
          <w:szCs w:val="22"/>
        </w:rPr>
        <w:t xml:space="preserve"> proizvedenu</w:t>
      </w:r>
      <w:r w:rsidRPr="00E57562">
        <w:rPr>
          <w:rFonts w:ascii="TyponineSans Reg" w:hAnsi="TyponineSans Reg"/>
          <w:szCs w:val="22"/>
        </w:rPr>
        <w:t xml:space="preserve"> imovinu u ukupnom iznosu od</w:t>
      </w:r>
      <w:r w:rsidR="00E57562" w:rsidRPr="00E57562">
        <w:rPr>
          <w:rFonts w:ascii="TyponineSans Reg" w:hAnsi="TyponineSans Reg"/>
          <w:szCs w:val="22"/>
        </w:rPr>
        <w:t xml:space="preserve"> 312.000 kn i sva se odnose na </w:t>
      </w:r>
      <w:r w:rsidRPr="00E57562">
        <w:rPr>
          <w:rFonts w:ascii="TyponineSans Reg" w:hAnsi="TyponineSans Reg"/>
          <w:szCs w:val="22"/>
        </w:rPr>
        <w:t xml:space="preserve"> nabavku umjetničke literature i znanstvenih dijela, a čija je nabava također sufinancirana u sklopu projekta Novog ruha Brijuna </w:t>
      </w:r>
    </w:p>
    <w:p w14:paraId="37D5883B" w14:textId="77777777" w:rsidR="00A663E3" w:rsidRPr="00E57562" w:rsidRDefault="00A663E3" w:rsidP="00A663E3">
      <w:pPr>
        <w:pStyle w:val="ListParagraph"/>
        <w:rPr>
          <w:rFonts w:ascii="TyponineSans Reg" w:hAnsi="TyponineSans Reg"/>
          <w:szCs w:val="22"/>
        </w:rPr>
      </w:pPr>
    </w:p>
    <w:p w14:paraId="15D81B86" w14:textId="3EC18FEF" w:rsidR="00A663E3" w:rsidRDefault="00A663E3" w:rsidP="00E57562">
      <w:pPr>
        <w:pStyle w:val="BodyText2"/>
        <w:ind w:left="142"/>
        <w:rPr>
          <w:rFonts w:ascii="TyponineSans Reg" w:hAnsi="TyponineSans Reg"/>
          <w:szCs w:val="22"/>
        </w:rPr>
      </w:pPr>
      <w:r w:rsidRPr="00E57562">
        <w:rPr>
          <w:rFonts w:ascii="TyponineSans Reg" w:hAnsi="TyponineSans Reg"/>
          <w:szCs w:val="22"/>
        </w:rPr>
        <w:t>Rashodi za dodatna ulaganja na nefinancijskoj imovini odnosno na građevinskim objektima</w:t>
      </w:r>
      <w:r w:rsidR="00E57562" w:rsidRPr="00E57562">
        <w:rPr>
          <w:rFonts w:ascii="TyponineSans Reg" w:hAnsi="TyponineSans Reg"/>
          <w:szCs w:val="22"/>
        </w:rPr>
        <w:t xml:space="preserve"> ostvareni su </w:t>
      </w:r>
      <w:r w:rsidRPr="00E57562">
        <w:rPr>
          <w:rFonts w:ascii="TyponineSans Reg" w:hAnsi="TyponineSans Reg"/>
          <w:szCs w:val="22"/>
        </w:rPr>
        <w:t xml:space="preserve"> u iznosu od </w:t>
      </w:r>
      <w:r w:rsidR="00E57562" w:rsidRPr="00E57562">
        <w:rPr>
          <w:rFonts w:ascii="TyponineSans Reg" w:hAnsi="TyponineSans Reg"/>
          <w:szCs w:val="22"/>
        </w:rPr>
        <w:t xml:space="preserve">14.756.852 kn i veći su za 11.643.054 kn u odnosu na ostvarenih </w:t>
      </w:r>
      <w:r w:rsidRPr="00E57562">
        <w:rPr>
          <w:rFonts w:ascii="TyponineSans Reg" w:hAnsi="TyponineSans Reg"/>
          <w:szCs w:val="22"/>
        </w:rPr>
        <w:t xml:space="preserve">3.113.798 kn </w:t>
      </w:r>
      <w:r w:rsidR="00E57562" w:rsidRPr="00E57562">
        <w:rPr>
          <w:rFonts w:ascii="TyponineSans Reg" w:hAnsi="TyponineSans Reg"/>
          <w:szCs w:val="22"/>
        </w:rPr>
        <w:t xml:space="preserve"> u 2020. godini. Navedeno povećanje odnosi se na završetak dodatnih ulaganja u postojeće građevinske objektena otoku Mali Brijun čija se nabava financira u sklopu projekta Novog ruha Brijuna.</w:t>
      </w:r>
    </w:p>
    <w:p w14:paraId="06B846C2" w14:textId="77777777" w:rsidR="00A732D4" w:rsidRPr="00E57562" w:rsidRDefault="00A732D4" w:rsidP="00E57562">
      <w:pPr>
        <w:pStyle w:val="BodyText2"/>
        <w:ind w:left="142"/>
        <w:rPr>
          <w:rFonts w:ascii="TyponineSans Reg" w:hAnsi="TyponineSans Reg"/>
          <w:szCs w:val="22"/>
        </w:rPr>
      </w:pPr>
    </w:p>
    <w:p w14:paraId="2F75F661" w14:textId="77777777" w:rsidR="00A732D4" w:rsidRDefault="00A732D4" w:rsidP="00A732D4">
      <w:pPr>
        <w:pStyle w:val="BodyText2"/>
        <w:rPr>
          <w:rFonts w:ascii="TyponineSans Reg" w:hAnsi="TyponineSans Reg"/>
          <w:b/>
          <w:i w:val="0"/>
          <w:sz w:val="24"/>
        </w:rPr>
      </w:pPr>
      <w:r w:rsidRPr="009A302B">
        <w:rPr>
          <w:rFonts w:ascii="TyponineSans Reg" w:hAnsi="TyponineSans Reg"/>
          <w:b/>
          <w:i w:val="0"/>
          <w:sz w:val="24"/>
        </w:rPr>
        <w:t xml:space="preserve">AOP 404 </w:t>
      </w:r>
    </w:p>
    <w:p w14:paraId="5B79B982" w14:textId="77777777" w:rsidR="00A732D4" w:rsidRDefault="00A732D4" w:rsidP="00A732D4">
      <w:pPr>
        <w:pStyle w:val="BodyText2"/>
        <w:rPr>
          <w:rFonts w:ascii="TyponineSans Reg" w:hAnsi="TyponineSans Reg"/>
          <w:b/>
          <w:i w:val="0"/>
          <w:sz w:val="24"/>
        </w:rPr>
      </w:pPr>
      <w:r w:rsidRPr="009A302B">
        <w:rPr>
          <w:rFonts w:ascii="TyponineSans Reg" w:hAnsi="TyponineSans Reg"/>
          <w:b/>
          <w:i w:val="0"/>
          <w:sz w:val="24"/>
        </w:rPr>
        <w:t xml:space="preserve">AOP 639 </w:t>
      </w:r>
      <w:r>
        <w:rPr>
          <w:rFonts w:ascii="TyponineSans Reg" w:hAnsi="TyponineSans Reg"/>
          <w:b/>
          <w:i w:val="0"/>
          <w:sz w:val="24"/>
        </w:rPr>
        <w:t xml:space="preserve">( </w:t>
      </w:r>
      <w:r w:rsidRPr="009A302B">
        <w:rPr>
          <w:rFonts w:ascii="TyponineSans Reg" w:hAnsi="TyponineSans Reg"/>
          <w:b/>
          <w:i w:val="0"/>
          <w:sz w:val="24"/>
        </w:rPr>
        <w:t>kolon</w:t>
      </w:r>
      <w:r>
        <w:rPr>
          <w:rFonts w:ascii="TyponineSans Reg" w:hAnsi="TyponineSans Reg"/>
          <w:b/>
          <w:i w:val="0"/>
          <w:sz w:val="24"/>
        </w:rPr>
        <w:t>a</w:t>
      </w:r>
      <w:r w:rsidRPr="009A302B">
        <w:rPr>
          <w:rFonts w:ascii="TyponineSans Reg" w:hAnsi="TyponineSans Reg"/>
          <w:b/>
          <w:i w:val="0"/>
          <w:sz w:val="24"/>
        </w:rPr>
        <w:t xml:space="preserve"> prethodne godine</w:t>
      </w:r>
      <w:r>
        <w:rPr>
          <w:rFonts w:ascii="TyponineSans Reg" w:hAnsi="TyponineSans Reg"/>
          <w:b/>
          <w:i w:val="0"/>
          <w:sz w:val="24"/>
        </w:rPr>
        <w:t>)</w:t>
      </w:r>
    </w:p>
    <w:p w14:paraId="67CE9AFF" w14:textId="77777777" w:rsidR="00A732D4" w:rsidRPr="009A302B" w:rsidRDefault="00A732D4" w:rsidP="00A732D4">
      <w:pPr>
        <w:pStyle w:val="BodyText2"/>
        <w:rPr>
          <w:rFonts w:ascii="TyponineSans Reg" w:hAnsi="TyponineSans Reg"/>
          <w:b/>
          <w:i w:val="0"/>
          <w:sz w:val="24"/>
        </w:rPr>
      </w:pPr>
      <w:r w:rsidRPr="009A302B">
        <w:rPr>
          <w:rFonts w:ascii="TyponineSans Reg" w:hAnsi="TyponineSans Reg"/>
          <w:b/>
          <w:i w:val="0"/>
          <w:sz w:val="24"/>
        </w:rPr>
        <w:t xml:space="preserve">Manjak prihoda od nefinancijske imovine – preneseni </w:t>
      </w:r>
    </w:p>
    <w:p w14:paraId="7C1D229E" w14:textId="77777777" w:rsidR="00A732D4" w:rsidRPr="009A302B" w:rsidRDefault="00A732D4" w:rsidP="00A732D4">
      <w:pPr>
        <w:pStyle w:val="BodyText2"/>
        <w:rPr>
          <w:rFonts w:ascii="TyponineSans Reg" w:hAnsi="TyponineSans Reg"/>
          <w:b/>
          <w:i w:val="0"/>
          <w:sz w:val="24"/>
        </w:rPr>
      </w:pPr>
    </w:p>
    <w:p w14:paraId="04C5FC84" w14:textId="77777777" w:rsidR="00A732D4" w:rsidRPr="003855A6" w:rsidRDefault="00A732D4" w:rsidP="00A732D4">
      <w:pPr>
        <w:pStyle w:val="BodyText2"/>
        <w:rPr>
          <w:rFonts w:ascii="TyponineSans Reg" w:hAnsi="TyponineSans Reg"/>
          <w:i w:val="0"/>
          <w:szCs w:val="22"/>
        </w:rPr>
      </w:pPr>
      <w:r w:rsidRPr="003855A6">
        <w:rPr>
          <w:rFonts w:ascii="TyponineSans Reg" w:hAnsi="TyponineSans Reg"/>
          <w:i w:val="0"/>
          <w:szCs w:val="22"/>
        </w:rPr>
        <w:t>U okviru AOP-a 404  iskazan je iznos od 49.927.215 kn, a koji se odnosi na:</w:t>
      </w:r>
    </w:p>
    <w:p w14:paraId="3A7503D5" w14:textId="77777777" w:rsidR="00A732D4" w:rsidRPr="003855A6" w:rsidRDefault="00A732D4" w:rsidP="00A732D4">
      <w:pPr>
        <w:pStyle w:val="BodyText2"/>
        <w:rPr>
          <w:rFonts w:ascii="TyponineSans Reg" w:hAnsi="TyponineSans Reg"/>
          <w:i w:val="0"/>
          <w:szCs w:val="22"/>
        </w:rPr>
      </w:pPr>
      <w:r w:rsidRPr="003855A6">
        <w:rPr>
          <w:rFonts w:ascii="TyponineSans Reg" w:hAnsi="TyponineSans Reg"/>
          <w:i w:val="0"/>
          <w:szCs w:val="22"/>
        </w:rPr>
        <w:t xml:space="preserve">    </w:t>
      </w:r>
    </w:p>
    <w:p w14:paraId="3620DED7" w14:textId="77777777" w:rsidR="00A732D4" w:rsidRPr="003855A6" w:rsidRDefault="00A732D4" w:rsidP="00A732D4">
      <w:pPr>
        <w:pStyle w:val="BodyText2"/>
        <w:numPr>
          <w:ilvl w:val="0"/>
          <w:numId w:val="29"/>
        </w:numPr>
        <w:rPr>
          <w:rFonts w:ascii="TyponineSans Reg" w:hAnsi="TyponineSans Reg"/>
          <w:i w:val="0"/>
          <w:szCs w:val="22"/>
        </w:rPr>
      </w:pPr>
      <w:r w:rsidRPr="003855A6">
        <w:rPr>
          <w:rFonts w:ascii="TyponineSans Reg" w:hAnsi="TyponineSans Reg"/>
          <w:i w:val="0"/>
          <w:szCs w:val="22"/>
        </w:rPr>
        <w:t xml:space="preserve">Preneseni manjak od nefinancijske imovine iz prethodne godine u iznosu od 47.591.987,93 kn. </w:t>
      </w:r>
    </w:p>
    <w:p w14:paraId="2611BD7E" w14:textId="77777777" w:rsidR="00A732D4" w:rsidRPr="003855A6" w:rsidRDefault="00A732D4" w:rsidP="00A732D4">
      <w:pPr>
        <w:pStyle w:val="BodyText2"/>
        <w:ind w:left="780"/>
        <w:rPr>
          <w:rFonts w:ascii="TyponineSans Reg" w:hAnsi="TyponineSans Reg"/>
          <w:i w:val="0"/>
          <w:szCs w:val="22"/>
        </w:rPr>
      </w:pPr>
      <w:r w:rsidRPr="003855A6">
        <w:rPr>
          <w:rFonts w:ascii="TyponineSans Reg" w:hAnsi="TyponineSans Reg"/>
          <w:i w:val="0"/>
          <w:szCs w:val="22"/>
        </w:rPr>
        <w:t xml:space="preserve">Iznos od 47.591.987,93 kn razlikuje se u odnosu na iznos od 46.137.354,93 kn koji je iskazan na poziciji AOP-a 639 u koloni prethodne godine. Naime,  iznos od 46.137.354,93 kn odnosi se na preneseni manjak od prethodne godine ali iz cjelokupnog poslovanja od čega je iznos od 47.591.987,93 kn knjižen kao negativan rezultat nefinancijske imovine, a iznos od </w:t>
      </w:r>
      <w:r w:rsidRPr="003855A6">
        <w:rPr>
          <w:rFonts w:ascii="TyponineSans Reg" w:hAnsi="TyponineSans Reg"/>
          <w:i w:val="0"/>
          <w:szCs w:val="22"/>
        </w:rPr>
        <w:lastRenderedPageBreak/>
        <w:t xml:space="preserve">1.454.633,00 kn kao pozitivan rezultat od poslovanja što zajedno iznosi navedenih 46.137.354,93 kn </w:t>
      </w:r>
    </w:p>
    <w:p w14:paraId="119F4705" w14:textId="77777777" w:rsidR="00A732D4" w:rsidRPr="003855A6" w:rsidRDefault="00A732D4" w:rsidP="00A732D4">
      <w:pPr>
        <w:pStyle w:val="BodyText2"/>
        <w:numPr>
          <w:ilvl w:val="0"/>
          <w:numId w:val="29"/>
        </w:numPr>
        <w:rPr>
          <w:rFonts w:ascii="TyponineSans Reg" w:hAnsi="TyponineSans Reg"/>
          <w:i w:val="0"/>
          <w:szCs w:val="22"/>
        </w:rPr>
      </w:pPr>
      <w:r w:rsidRPr="003855A6">
        <w:rPr>
          <w:rFonts w:ascii="TyponineSans Reg" w:hAnsi="TyponineSans Reg"/>
          <w:i w:val="0"/>
          <w:szCs w:val="22"/>
        </w:rPr>
        <w:t xml:space="preserve">obračunatu godišnju amortizaciju  knjiženu direktno na kontu 92222 u iznosu od 2.335.227,36 kn </w:t>
      </w:r>
    </w:p>
    <w:p w14:paraId="26743FCB" w14:textId="77777777" w:rsidR="00A732D4" w:rsidRPr="00486643" w:rsidRDefault="00A732D4" w:rsidP="00A732D4">
      <w:pPr>
        <w:pStyle w:val="BodyText2"/>
        <w:ind w:left="780"/>
        <w:rPr>
          <w:rFonts w:ascii="TyponineSans Reg" w:hAnsi="TyponineSans Reg"/>
          <w:i w:val="0"/>
          <w:color w:val="0070C0"/>
          <w:szCs w:val="22"/>
        </w:rPr>
      </w:pPr>
    </w:p>
    <w:p w14:paraId="54C01255" w14:textId="77777777" w:rsidR="00A732D4" w:rsidRPr="003855A6" w:rsidRDefault="00A732D4" w:rsidP="00A732D4">
      <w:pPr>
        <w:pStyle w:val="BodyText2"/>
        <w:rPr>
          <w:rFonts w:ascii="TyponineSans Reg" w:hAnsi="TyponineSans Reg"/>
          <w:i w:val="0"/>
          <w:szCs w:val="22"/>
        </w:rPr>
      </w:pPr>
      <w:r w:rsidRPr="003855A6">
        <w:rPr>
          <w:rFonts w:ascii="TyponineSans Reg" w:hAnsi="TyponineSans Reg"/>
          <w:i w:val="0"/>
          <w:szCs w:val="22"/>
        </w:rPr>
        <w:t xml:space="preserve">Navedeni iznosi obračunate amortizacije odnose se samo na amortizaciju one dugotrajne imovine Ustanove čija nabavna vrijednost prilikom nabavke nije teretila rashode poslovanja. </w:t>
      </w:r>
    </w:p>
    <w:p w14:paraId="678C1A92" w14:textId="77777777" w:rsidR="00A732D4" w:rsidRPr="003855A6" w:rsidRDefault="00A732D4" w:rsidP="00A732D4">
      <w:pPr>
        <w:pStyle w:val="BodyText2"/>
        <w:rPr>
          <w:rFonts w:ascii="TyponineSans Reg" w:hAnsi="TyponineSans Reg"/>
          <w:i w:val="0"/>
          <w:szCs w:val="22"/>
        </w:rPr>
      </w:pPr>
    </w:p>
    <w:p w14:paraId="04E44F20" w14:textId="77777777" w:rsidR="00A732D4" w:rsidRPr="003855A6" w:rsidRDefault="00A732D4" w:rsidP="00A732D4">
      <w:pPr>
        <w:jc w:val="both"/>
        <w:rPr>
          <w:rFonts w:ascii="TyponineSans Reg" w:hAnsi="TyponineSans Reg"/>
          <w:szCs w:val="22"/>
        </w:rPr>
      </w:pPr>
      <w:r w:rsidRPr="003855A6">
        <w:rPr>
          <w:rFonts w:ascii="TyponineSans Reg" w:hAnsi="TyponineSans Reg"/>
          <w:szCs w:val="22"/>
        </w:rPr>
        <w:t>Naime, budući da je Ustanova, kako je to već ranije i istaknuto, do 31.12.2012. godine vodila knjigovodstvo sukladno Uredbi o računovodstvu neprofitnih organizacija nabavna vrijednost dugotrajne materijalne imovine nije teretila rashode Ustanove u trenutku nabavke već kroz obračun  amortizacije koji je vršen tijekom korisnog vijeka trajanja imovine.</w:t>
      </w:r>
    </w:p>
    <w:p w14:paraId="45BC2A4F" w14:textId="77777777" w:rsidR="00A732D4" w:rsidRPr="00486643" w:rsidRDefault="00A732D4" w:rsidP="00A732D4">
      <w:pPr>
        <w:jc w:val="both"/>
        <w:rPr>
          <w:rFonts w:ascii="TyponineSans Reg" w:hAnsi="TyponineSans Reg"/>
          <w:color w:val="0070C0"/>
          <w:szCs w:val="22"/>
        </w:rPr>
      </w:pPr>
    </w:p>
    <w:p w14:paraId="5EAFEE91" w14:textId="77777777" w:rsidR="00A732D4" w:rsidRPr="003855A6" w:rsidRDefault="00A732D4" w:rsidP="00A732D4">
      <w:pPr>
        <w:jc w:val="both"/>
        <w:rPr>
          <w:rFonts w:ascii="TyponineSans Reg" w:hAnsi="TyponineSans Reg"/>
          <w:szCs w:val="22"/>
        </w:rPr>
      </w:pPr>
      <w:r w:rsidRPr="003855A6">
        <w:rPr>
          <w:rFonts w:ascii="TyponineSans Reg" w:hAnsi="TyponineSans Reg"/>
          <w:szCs w:val="22"/>
        </w:rPr>
        <w:t xml:space="preserve">Međutim, prelaskom na proračunsko računovodstvo pojavio se problem knjiženja neotpisanog dijela dugotrajne materijalne imovine budući da sukladno Pravilniku o proračunskom računovodstvu amortizacija ne tereti rashode Ustanove već umanjuje izvore financiranja. </w:t>
      </w:r>
    </w:p>
    <w:p w14:paraId="1E6010A9" w14:textId="77777777" w:rsidR="00A732D4" w:rsidRPr="003855A6" w:rsidRDefault="00A732D4" w:rsidP="00A732D4">
      <w:pPr>
        <w:jc w:val="both"/>
        <w:rPr>
          <w:rFonts w:ascii="TyponineSans Reg" w:hAnsi="TyponineSans Reg"/>
          <w:szCs w:val="22"/>
        </w:rPr>
      </w:pPr>
    </w:p>
    <w:p w14:paraId="666BF105" w14:textId="77777777" w:rsidR="00A732D4" w:rsidRPr="003855A6" w:rsidRDefault="00A732D4" w:rsidP="00A732D4">
      <w:pPr>
        <w:jc w:val="both"/>
        <w:rPr>
          <w:rFonts w:ascii="TyponineSans Reg" w:hAnsi="TyponineSans Reg"/>
          <w:szCs w:val="22"/>
        </w:rPr>
      </w:pPr>
      <w:r w:rsidRPr="003855A6">
        <w:rPr>
          <w:rFonts w:ascii="TyponineSans Reg" w:hAnsi="TyponineSans Reg"/>
          <w:szCs w:val="22"/>
        </w:rPr>
        <w:t>Kako bismo obračun amortizacije mogli knjižiti sukladno Pravilniku o proračunskom računovodstvu, za iznos preostale neotpisane vrijednosti one dugotrajne imovine za čiju nabavu nisu terečeni rashodi Ustanove na dan 01.01.2013. povećani su izvori financiranja uz istovremeno odobrenje konta 1911 – Rashodi budućih razdoblja u iznosu od 121.990.099 kn.</w:t>
      </w:r>
    </w:p>
    <w:p w14:paraId="560A2D8C" w14:textId="77777777" w:rsidR="00A732D4" w:rsidRPr="003855A6" w:rsidRDefault="00A732D4" w:rsidP="00A732D4">
      <w:pPr>
        <w:jc w:val="both"/>
        <w:rPr>
          <w:rFonts w:ascii="TyponineSans Reg" w:hAnsi="TyponineSans Reg"/>
          <w:szCs w:val="22"/>
        </w:rPr>
      </w:pPr>
    </w:p>
    <w:p w14:paraId="5F8240CE" w14:textId="77777777" w:rsidR="00A732D4" w:rsidRPr="003855A6" w:rsidRDefault="00A732D4" w:rsidP="00A732D4">
      <w:pPr>
        <w:jc w:val="both"/>
        <w:rPr>
          <w:rFonts w:ascii="TyponineSans Reg" w:hAnsi="TyponineSans Reg"/>
          <w:szCs w:val="22"/>
        </w:rPr>
      </w:pPr>
      <w:r w:rsidRPr="003855A6">
        <w:rPr>
          <w:rFonts w:ascii="TyponineSans Reg" w:hAnsi="TyponineSans Reg"/>
          <w:szCs w:val="22"/>
        </w:rPr>
        <w:t>Nakon provedenog godišnjeg obračuna amortizacije za iznos amortizacije se umanjuje iskazani saldo na kontu 1911 uz istovremeno povećanje dugovne strane konta 92222 – Manjak prihoda od nefinancijske imovine čime se za iznos godišnjeg obračuna amortizacije direktno tereti poslovni rezultat Ustanove.</w:t>
      </w:r>
    </w:p>
    <w:p w14:paraId="22FCFCB9" w14:textId="77777777" w:rsidR="00A732D4" w:rsidRPr="00486643" w:rsidRDefault="00A732D4" w:rsidP="00A732D4">
      <w:pPr>
        <w:jc w:val="both"/>
        <w:rPr>
          <w:rFonts w:ascii="TyponineSans Reg" w:hAnsi="TyponineSans Reg"/>
          <w:color w:val="0070C0"/>
          <w:szCs w:val="22"/>
        </w:rPr>
      </w:pPr>
    </w:p>
    <w:p w14:paraId="5E780F89" w14:textId="77777777" w:rsidR="00A732D4" w:rsidRPr="003855A6" w:rsidRDefault="00A732D4" w:rsidP="00A732D4">
      <w:pPr>
        <w:jc w:val="both"/>
        <w:rPr>
          <w:rFonts w:ascii="TyponineSans Reg" w:hAnsi="TyponineSans Reg"/>
          <w:szCs w:val="22"/>
        </w:rPr>
      </w:pPr>
      <w:r w:rsidRPr="003855A6">
        <w:rPr>
          <w:rFonts w:ascii="TyponineSans Reg" w:hAnsi="TyponineSans Reg"/>
          <w:szCs w:val="22"/>
        </w:rPr>
        <w:t>Naime, da je Ustanova nastavila knjiženje sukladno Uredbi o računovodstvu neprofitnih organizacija iznos od 121.990.099 kn teretio bi poslovni rezultat tijekom korisnog vijeka imovine i stoga je donesena Odluka da se poslovni rezultat Ustanove i dalje umanjuje za godišnji iznos amortizacije jer bi u protivnom poslovni rezultat Ustanove bio krivo iskazan budući da nabavka ove imovine nikada ne bi teretila poslovni rezultat Ustanove.</w:t>
      </w:r>
    </w:p>
    <w:p w14:paraId="3EF8DBCD" w14:textId="77777777" w:rsidR="00A732D4" w:rsidRPr="003855A6" w:rsidRDefault="00A732D4" w:rsidP="00A732D4">
      <w:pPr>
        <w:jc w:val="both"/>
        <w:rPr>
          <w:rFonts w:ascii="TyponineSans Reg" w:hAnsi="TyponineSans Reg"/>
          <w:szCs w:val="22"/>
        </w:rPr>
      </w:pPr>
    </w:p>
    <w:p w14:paraId="6C1529ED" w14:textId="77777777" w:rsidR="00A732D4" w:rsidRPr="003855A6" w:rsidRDefault="00A732D4" w:rsidP="00A732D4">
      <w:pPr>
        <w:jc w:val="both"/>
        <w:rPr>
          <w:rFonts w:ascii="TyponineSans Reg" w:hAnsi="TyponineSans Reg"/>
          <w:szCs w:val="22"/>
        </w:rPr>
      </w:pPr>
      <w:r w:rsidRPr="003855A6">
        <w:rPr>
          <w:rFonts w:ascii="TyponineSans Reg" w:hAnsi="TyponineSans Reg"/>
          <w:szCs w:val="22"/>
        </w:rPr>
        <w:t>Kako računski plan proračuna, sukladno Pravilniku proračunskog računovodstva, nema predviđen konto za knjiženje obračunate amortizacije navedeni iznos proknjižen je direktno na konto 92222 – Manjak prihoda od nefinancijske imovine i kao takav iskazan na AOP-u 40</w:t>
      </w:r>
      <w:r>
        <w:rPr>
          <w:rFonts w:ascii="TyponineSans Reg" w:hAnsi="TyponineSans Reg"/>
          <w:szCs w:val="22"/>
        </w:rPr>
        <w:t>4</w:t>
      </w:r>
      <w:r w:rsidRPr="003855A6">
        <w:rPr>
          <w:rFonts w:ascii="TyponineSans Reg" w:hAnsi="TyponineSans Reg"/>
          <w:szCs w:val="22"/>
        </w:rPr>
        <w:t>.</w:t>
      </w:r>
    </w:p>
    <w:p w14:paraId="02F65CDE" w14:textId="77777777" w:rsidR="00A732D4" w:rsidRPr="003855A6" w:rsidRDefault="00A732D4" w:rsidP="00A732D4">
      <w:pPr>
        <w:jc w:val="both"/>
        <w:rPr>
          <w:rFonts w:ascii="TyponineSans Reg" w:hAnsi="TyponineSans Reg"/>
          <w:szCs w:val="22"/>
        </w:rPr>
      </w:pPr>
    </w:p>
    <w:p w14:paraId="40555630" w14:textId="77777777" w:rsidR="00A732D4" w:rsidRPr="003855A6" w:rsidRDefault="00A732D4" w:rsidP="00A732D4">
      <w:pPr>
        <w:jc w:val="both"/>
        <w:rPr>
          <w:rFonts w:ascii="TyponineSans Reg" w:hAnsi="TyponineSans Reg"/>
          <w:szCs w:val="22"/>
        </w:rPr>
      </w:pPr>
      <w:r w:rsidRPr="003855A6">
        <w:rPr>
          <w:rFonts w:ascii="TyponineSans Reg" w:hAnsi="TyponineSans Reg"/>
          <w:szCs w:val="22"/>
        </w:rPr>
        <w:t>Međutim, treba istaknuti da se poslovni rezultat ne tereti za cjelokupni iznos obračunate amotizacije nego samo za iznos amortizacije onih sredstava čija nabavna vrijednost nije teretila rashode Ustanove tijekom nabavke.</w:t>
      </w:r>
    </w:p>
    <w:p w14:paraId="24D8495B" w14:textId="77777777" w:rsidR="00A732D4" w:rsidRPr="00486643" w:rsidRDefault="00A732D4" w:rsidP="00A732D4">
      <w:pPr>
        <w:jc w:val="both"/>
        <w:rPr>
          <w:rFonts w:ascii="TyponineSans Reg" w:hAnsi="TyponineSans Reg"/>
          <w:color w:val="0070C0"/>
          <w:szCs w:val="22"/>
        </w:rPr>
      </w:pPr>
    </w:p>
    <w:p w14:paraId="1882F157" w14:textId="77777777" w:rsidR="00A732D4" w:rsidRPr="003855A6" w:rsidRDefault="00A732D4" w:rsidP="00A732D4">
      <w:pPr>
        <w:jc w:val="both"/>
        <w:rPr>
          <w:rFonts w:ascii="TyponineSans Reg" w:hAnsi="TyponineSans Reg"/>
          <w:szCs w:val="22"/>
        </w:rPr>
      </w:pPr>
      <w:r w:rsidRPr="003855A6">
        <w:rPr>
          <w:rFonts w:ascii="TyponineSans Reg" w:hAnsi="TyponineSans Reg"/>
          <w:szCs w:val="22"/>
        </w:rPr>
        <w:t>Naime, kako su dana 01.01.2008. godine stupile na snagu izmjene Uredbe o računovodstvu neprofitnih organizacija upravo vezano za promjenu načina knjiženja obračunate amortizacije Ustanova je i do 31.12.2012. ukupno obračunatu amortizaciju djelila u tri grupe ovisno o tome da li je nabavna vrijednost imovine teretila poslovni rezultat u trenutku nabavke</w:t>
      </w:r>
    </w:p>
    <w:p w14:paraId="727162CE" w14:textId="77777777" w:rsidR="00A732D4" w:rsidRPr="003855A6" w:rsidRDefault="00A732D4" w:rsidP="00A732D4">
      <w:pPr>
        <w:numPr>
          <w:ilvl w:val="0"/>
          <w:numId w:val="21"/>
        </w:numPr>
        <w:jc w:val="both"/>
        <w:rPr>
          <w:rFonts w:ascii="TyponineSans Reg" w:hAnsi="TyponineSans Reg"/>
          <w:szCs w:val="22"/>
        </w:rPr>
      </w:pPr>
      <w:r w:rsidRPr="003855A6">
        <w:rPr>
          <w:rFonts w:ascii="TyponineSans Reg" w:hAnsi="TyponineSans Reg"/>
          <w:szCs w:val="22"/>
        </w:rPr>
        <w:t>1.   grupa –     amortizacija za sredstva nabavljenja do 31.12.1999. godine</w:t>
      </w:r>
    </w:p>
    <w:p w14:paraId="02E86EA1" w14:textId="77777777" w:rsidR="00A732D4" w:rsidRPr="003855A6" w:rsidRDefault="00A732D4" w:rsidP="00A732D4">
      <w:pPr>
        <w:numPr>
          <w:ilvl w:val="0"/>
          <w:numId w:val="21"/>
        </w:numPr>
        <w:jc w:val="both"/>
        <w:rPr>
          <w:rFonts w:ascii="TyponineSans Reg" w:hAnsi="TyponineSans Reg"/>
          <w:szCs w:val="22"/>
        </w:rPr>
      </w:pPr>
      <w:r w:rsidRPr="003855A6">
        <w:rPr>
          <w:rFonts w:ascii="TyponineSans Reg" w:hAnsi="TyponineSans Reg"/>
          <w:szCs w:val="22"/>
        </w:rPr>
        <w:t>2. grupa – amortizacija za sredstva nabavljena u periodu od 01.01.2000. – 31.12.2007. godine</w:t>
      </w:r>
    </w:p>
    <w:p w14:paraId="29E8B848" w14:textId="77777777" w:rsidR="00A732D4" w:rsidRPr="003855A6" w:rsidRDefault="00A732D4" w:rsidP="00A732D4">
      <w:pPr>
        <w:numPr>
          <w:ilvl w:val="0"/>
          <w:numId w:val="21"/>
        </w:numPr>
        <w:jc w:val="both"/>
        <w:rPr>
          <w:rFonts w:ascii="TyponineSans Reg" w:hAnsi="TyponineSans Reg"/>
          <w:szCs w:val="22"/>
        </w:rPr>
      </w:pPr>
      <w:r w:rsidRPr="003855A6">
        <w:rPr>
          <w:rFonts w:ascii="TyponineSans Reg" w:hAnsi="TyponineSans Reg"/>
          <w:szCs w:val="22"/>
        </w:rPr>
        <w:t>3. grupa – amortizacija za sredstva nabavljena u periodu od 01.01.2008. – 31.12.2012. godine</w:t>
      </w:r>
    </w:p>
    <w:p w14:paraId="5FF278ED" w14:textId="77777777" w:rsidR="00A732D4" w:rsidRPr="00486643" w:rsidRDefault="00A732D4" w:rsidP="00A732D4">
      <w:pPr>
        <w:jc w:val="both"/>
        <w:rPr>
          <w:rFonts w:ascii="TyponineSans Reg" w:hAnsi="TyponineSans Reg"/>
          <w:color w:val="0070C0"/>
          <w:szCs w:val="22"/>
        </w:rPr>
      </w:pPr>
    </w:p>
    <w:p w14:paraId="7415F39C" w14:textId="77777777" w:rsidR="00A732D4" w:rsidRPr="003855A6" w:rsidRDefault="00A732D4" w:rsidP="00A732D4">
      <w:pPr>
        <w:jc w:val="both"/>
        <w:rPr>
          <w:rFonts w:ascii="TyponineSans Reg" w:hAnsi="TyponineSans Reg"/>
          <w:szCs w:val="22"/>
        </w:rPr>
      </w:pPr>
      <w:r w:rsidRPr="003855A6">
        <w:rPr>
          <w:rFonts w:ascii="TyponineSans Reg" w:hAnsi="TyponineSans Reg"/>
          <w:szCs w:val="22"/>
        </w:rPr>
        <w:t xml:space="preserve">U skladu sa navedenim, prethodnih je godina amortizacija za 1. i 3. grupu knjižena na teret rashoda Ustanove budući da u trenutku nabavke te imovine nije terećen poslovni rezultat dok je 2. grupa amortizacije knjižena samo na teret izvora budući da je u periodu od 01.01.2000. do 31.12.2007. godine </w:t>
      </w:r>
      <w:r w:rsidRPr="003855A6">
        <w:rPr>
          <w:rFonts w:ascii="TyponineSans Reg" w:hAnsi="TyponineSans Reg"/>
          <w:szCs w:val="22"/>
        </w:rPr>
        <w:lastRenderedPageBreak/>
        <w:t>odnosno do donošenja izmjena Uredbe dana 01.01.2008. godine za nabavku imovine terećen poslovni rezultat u cjelosti te je amortizacija knjižena samo na teret Izvora.</w:t>
      </w:r>
    </w:p>
    <w:p w14:paraId="092FADDF" w14:textId="77777777" w:rsidR="00A732D4" w:rsidRPr="00486643" w:rsidRDefault="00A732D4" w:rsidP="00A732D4">
      <w:pPr>
        <w:jc w:val="both"/>
        <w:rPr>
          <w:rFonts w:ascii="TyponineSans Reg" w:hAnsi="TyponineSans Reg"/>
          <w:color w:val="0070C0"/>
        </w:rPr>
      </w:pPr>
    </w:p>
    <w:p w14:paraId="052E03C8" w14:textId="77777777" w:rsidR="00A732D4" w:rsidRPr="00486643" w:rsidRDefault="00A732D4" w:rsidP="00A732D4">
      <w:pPr>
        <w:jc w:val="both"/>
        <w:rPr>
          <w:rFonts w:ascii="TyponineSans Reg" w:hAnsi="TyponineSans Reg"/>
          <w:color w:val="0070C0"/>
          <w:sz w:val="24"/>
          <w:szCs w:val="24"/>
        </w:rPr>
      </w:pPr>
      <w:r w:rsidRPr="003855A6">
        <w:drawing>
          <wp:inline distT="0" distB="0" distL="0" distR="0" wp14:anchorId="472DEF35" wp14:editId="483E9F84">
            <wp:extent cx="5353050" cy="38766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53050" cy="3876675"/>
                    </a:xfrm>
                    <a:prstGeom prst="rect">
                      <a:avLst/>
                    </a:prstGeom>
                    <a:noFill/>
                    <a:ln>
                      <a:noFill/>
                    </a:ln>
                  </pic:spPr>
                </pic:pic>
              </a:graphicData>
            </a:graphic>
          </wp:inline>
        </w:drawing>
      </w:r>
    </w:p>
    <w:p w14:paraId="1301FD17" w14:textId="77777777" w:rsidR="00A732D4" w:rsidRPr="00486643" w:rsidRDefault="00A732D4" w:rsidP="00A732D4">
      <w:pPr>
        <w:jc w:val="both"/>
        <w:rPr>
          <w:rFonts w:ascii="TyponineSans Reg" w:hAnsi="TyponineSans Reg"/>
          <w:color w:val="0070C0"/>
          <w:sz w:val="24"/>
          <w:szCs w:val="24"/>
        </w:rPr>
      </w:pPr>
    </w:p>
    <w:p w14:paraId="480301C9" w14:textId="77777777" w:rsidR="00A732D4" w:rsidRPr="003855A6" w:rsidRDefault="00A732D4" w:rsidP="00A732D4">
      <w:pPr>
        <w:jc w:val="both"/>
        <w:rPr>
          <w:rFonts w:ascii="TyponineSans Reg" w:hAnsi="TyponineSans Reg"/>
          <w:szCs w:val="22"/>
        </w:rPr>
      </w:pPr>
      <w:r w:rsidRPr="003855A6">
        <w:rPr>
          <w:rFonts w:ascii="TyponineSans Reg" w:hAnsi="TyponineSans Reg"/>
          <w:szCs w:val="22"/>
        </w:rPr>
        <w:t>Prema prikazu u tablici obračunata amortizacija za sveukupnu dugotrajnu imovinu Ustanove u iznosu od 6.368.065,66 kn knjižena je u skladu sa Pravilnikom o proračunskom računovodstvu odnosno kroz smanjenje izvora financiranja, koji su sa danom 01.01.2013. godine uvećani za neotpisanu vrijednost u iznosu 121.990.099 kn, dok je samo iznos od 2.335.227,36 kuna knjižen istovremeno i na teret konta 92222 – Manjak prihoda od nefinancijske imovine.</w:t>
      </w:r>
    </w:p>
    <w:p w14:paraId="51F345B0" w14:textId="749215CB" w:rsidR="00A732D4" w:rsidRDefault="00A732D4" w:rsidP="00A732D4">
      <w:pPr>
        <w:jc w:val="both"/>
        <w:rPr>
          <w:rFonts w:ascii="TyponineSans Reg" w:hAnsi="TyponineSans Reg"/>
          <w:b/>
          <w:color w:val="0070C0"/>
          <w:sz w:val="24"/>
          <w:szCs w:val="24"/>
        </w:rPr>
      </w:pPr>
    </w:p>
    <w:p w14:paraId="235AF5F3" w14:textId="739A1FA6" w:rsidR="006170D2" w:rsidRDefault="006170D2" w:rsidP="00A732D4">
      <w:pPr>
        <w:jc w:val="both"/>
        <w:rPr>
          <w:rFonts w:ascii="TyponineSans Reg" w:hAnsi="TyponineSans Reg"/>
          <w:b/>
          <w:color w:val="0070C0"/>
          <w:sz w:val="24"/>
          <w:szCs w:val="24"/>
        </w:rPr>
      </w:pPr>
    </w:p>
    <w:p w14:paraId="7ABD223B" w14:textId="77777777" w:rsidR="006170D2" w:rsidRPr="00486643" w:rsidRDefault="006170D2" w:rsidP="00A732D4">
      <w:pPr>
        <w:jc w:val="both"/>
        <w:rPr>
          <w:rFonts w:ascii="TyponineSans Reg" w:hAnsi="TyponineSans Reg"/>
          <w:b/>
          <w:color w:val="0070C0"/>
          <w:sz w:val="24"/>
          <w:szCs w:val="24"/>
        </w:rPr>
      </w:pPr>
    </w:p>
    <w:p w14:paraId="777EF98F" w14:textId="77777777" w:rsidR="00B60CC4" w:rsidRDefault="00B60CC4" w:rsidP="00B60CC4">
      <w:pPr>
        <w:pStyle w:val="BodyText2"/>
        <w:rPr>
          <w:rFonts w:ascii="TyponineSans Reg" w:hAnsi="TyponineSans Reg"/>
          <w:b/>
          <w:i w:val="0"/>
          <w:sz w:val="24"/>
        </w:rPr>
      </w:pPr>
      <w:r w:rsidRPr="009A302B">
        <w:rPr>
          <w:rFonts w:ascii="TyponineSans Reg" w:hAnsi="TyponineSans Reg"/>
          <w:b/>
          <w:i w:val="0"/>
          <w:sz w:val="24"/>
        </w:rPr>
        <w:t xml:space="preserve">AOP </w:t>
      </w:r>
      <w:r>
        <w:rPr>
          <w:rFonts w:ascii="TyponineSans Reg" w:hAnsi="TyponineSans Reg"/>
          <w:b/>
          <w:i w:val="0"/>
          <w:sz w:val="24"/>
        </w:rPr>
        <w:t>637 (kolona tekuće godine)</w:t>
      </w:r>
    </w:p>
    <w:p w14:paraId="5D38C926" w14:textId="77777777" w:rsidR="00B60CC4" w:rsidRDefault="00B60CC4" w:rsidP="00B60CC4">
      <w:pPr>
        <w:pStyle w:val="BodyText2"/>
        <w:rPr>
          <w:rFonts w:ascii="TyponineSans Reg" w:hAnsi="TyponineSans Reg"/>
          <w:b/>
          <w:i w:val="0"/>
          <w:sz w:val="24"/>
        </w:rPr>
      </w:pPr>
      <w:r w:rsidRPr="009A302B">
        <w:rPr>
          <w:rFonts w:ascii="TyponineSans Reg" w:hAnsi="TyponineSans Reg"/>
          <w:b/>
          <w:i w:val="0"/>
          <w:sz w:val="24"/>
        </w:rPr>
        <w:t xml:space="preserve">AOP 639 </w:t>
      </w:r>
      <w:r>
        <w:rPr>
          <w:rFonts w:ascii="TyponineSans Reg" w:hAnsi="TyponineSans Reg"/>
          <w:b/>
          <w:i w:val="0"/>
          <w:sz w:val="24"/>
        </w:rPr>
        <w:t xml:space="preserve">( </w:t>
      </w:r>
      <w:r w:rsidRPr="009A302B">
        <w:rPr>
          <w:rFonts w:ascii="TyponineSans Reg" w:hAnsi="TyponineSans Reg"/>
          <w:b/>
          <w:i w:val="0"/>
          <w:sz w:val="24"/>
        </w:rPr>
        <w:t>kolon</w:t>
      </w:r>
      <w:r>
        <w:rPr>
          <w:rFonts w:ascii="TyponineSans Reg" w:hAnsi="TyponineSans Reg"/>
          <w:b/>
          <w:i w:val="0"/>
          <w:sz w:val="24"/>
        </w:rPr>
        <w:t>a</w:t>
      </w:r>
      <w:r w:rsidRPr="009A302B">
        <w:rPr>
          <w:rFonts w:ascii="TyponineSans Reg" w:hAnsi="TyponineSans Reg"/>
          <w:b/>
          <w:i w:val="0"/>
          <w:sz w:val="24"/>
        </w:rPr>
        <w:t xml:space="preserve"> prethodne godine</w:t>
      </w:r>
      <w:r>
        <w:rPr>
          <w:rFonts w:ascii="TyponineSans Reg" w:hAnsi="TyponineSans Reg"/>
          <w:b/>
          <w:i w:val="0"/>
          <w:sz w:val="24"/>
        </w:rPr>
        <w:t>)</w:t>
      </w:r>
    </w:p>
    <w:p w14:paraId="6689ADB7" w14:textId="77777777" w:rsidR="00B60CC4" w:rsidRDefault="00B60CC4" w:rsidP="00B60CC4">
      <w:pPr>
        <w:pStyle w:val="BodyText2"/>
        <w:rPr>
          <w:rFonts w:ascii="TyponineSans Reg" w:hAnsi="TyponineSans Reg"/>
          <w:b/>
          <w:i w:val="0"/>
          <w:sz w:val="24"/>
        </w:rPr>
      </w:pPr>
      <w:r w:rsidRPr="009A302B">
        <w:rPr>
          <w:rFonts w:ascii="TyponineSans Reg" w:hAnsi="TyponineSans Reg"/>
          <w:b/>
          <w:i w:val="0"/>
          <w:sz w:val="24"/>
        </w:rPr>
        <w:t xml:space="preserve">Manjak prihoda od nefinancijske imovine – preneseni </w:t>
      </w:r>
    </w:p>
    <w:p w14:paraId="4ADA296F" w14:textId="77777777" w:rsidR="00B60CC4" w:rsidRDefault="00B60CC4" w:rsidP="00B60CC4">
      <w:pPr>
        <w:pStyle w:val="BodyText2"/>
        <w:rPr>
          <w:rFonts w:ascii="TyponineSans Reg" w:hAnsi="TyponineSans Reg"/>
          <w:b/>
          <w:i w:val="0"/>
          <w:sz w:val="24"/>
        </w:rPr>
      </w:pPr>
    </w:p>
    <w:p w14:paraId="2E746D01" w14:textId="6506FD88" w:rsidR="00B60CC4" w:rsidRPr="00460A41" w:rsidRDefault="00B60CC4" w:rsidP="00B60CC4">
      <w:pPr>
        <w:pStyle w:val="BodyText2"/>
        <w:rPr>
          <w:rFonts w:ascii="TyponineSans Reg" w:hAnsi="TyponineSans Reg"/>
          <w:bCs/>
          <w:i w:val="0"/>
          <w:szCs w:val="22"/>
        </w:rPr>
      </w:pPr>
      <w:r w:rsidRPr="00460A41">
        <w:rPr>
          <w:rFonts w:ascii="TyponineSans Reg" w:hAnsi="TyponineSans Reg"/>
          <w:bCs/>
          <w:i w:val="0"/>
          <w:szCs w:val="22"/>
        </w:rPr>
        <w:t>U okviru AOP-a 637 – Manjak prihoda i primitaka preneseni, u koloni tekuće godine iskazan je iznos od 48.472.582 kn koji se razlikuje u odnosu na AOP 639 – Manjak prihoda i primitaka za pokriće u sljedećem razdoblju za iznos od 2.335.227 kn.</w:t>
      </w:r>
    </w:p>
    <w:p w14:paraId="5839394D" w14:textId="77777777" w:rsidR="00B60CC4" w:rsidRPr="00460A41" w:rsidRDefault="00B60CC4" w:rsidP="00B60CC4">
      <w:pPr>
        <w:pStyle w:val="BodyText2"/>
        <w:rPr>
          <w:rFonts w:ascii="TyponineSans Reg" w:hAnsi="TyponineSans Reg"/>
          <w:bCs/>
          <w:i w:val="0"/>
          <w:szCs w:val="22"/>
        </w:rPr>
      </w:pPr>
    </w:p>
    <w:p w14:paraId="4386857F" w14:textId="7D68099D" w:rsidR="00B60CC4" w:rsidRPr="00460A41" w:rsidRDefault="00B60CC4" w:rsidP="00B60CC4">
      <w:pPr>
        <w:pStyle w:val="BodyText2"/>
        <w:rPr>
          <w:rFonts w:ascii="TyponineSans Reg" w:hAnsi="TyponineSans Reg"/>
          <w:bCs/>
          <w:i w:val="0"/>
          <w:szCs w:val="22"/>
        </w:rPr>
      </w:pPr>
      <w:r w:rsidRPr="00460A41">
        <w:rPr>
          <w:rFonts w:ascii="TyponineSans Reg" w:hAnsi="TyponineSans Reg"/>
          <w:bCs/>
          <w:i w:val="0"/>
          <w:szCs w:val="22"/>
        </w:rPr>
        <w:t xml:space="preserve">Iznos od 2.335.227 kn odnosi se obračunatu amortizaciju </w:t>
      </w:r>
      <w:r w:rsidR="00460A41">
        <w:rPr>
          <w:rFonts w:ascii="TyponineSans Reg" w:hAnsi="TyponineSans Reg"/>
          <w:bCs/>
          <w:i w:val="0"/>
          <w:szCs w:val="22"/>
        </w:rPr>
        <w:t xml:space="preserve">za imovinu nabavljenu do 31.12.1999. godine i </w:t>
      </w:r>
      <w:r w:rsidR="006170D2">
        <w:rPr>
          <w:rFonts w:ascii="TyponineSans Reg" w:hAnsi="TyponineSans Reg"/>
          <w:bCs/>
          <w:i w:val="0"/>
          <w:szCs w:val="22"/>
        </w:rPr>
        <w:t xml:space="preserve">u </w:t>
      </w:r>
      <w:r w:rsidR="00460A41">
        <w:rPr>
          <w:rFonts w:ascii="TyponineSans Reg" w:hAnsi="TyponineSans Reg"/>
          <w:bCs/>
          <w:i w:val="0"/>
          <w:szCs w:val="22"/>
        </w:rPr>
        <w:t>razdoblju od 01.01.2008. do 31.12.2012. godine koja u trenutku nabavke nije teretila troškove poslovanja budući je u tom razdoblju Ustanova knjige vodila sukladno Uredbi o računovodstvu neprofitnih organicacij</w:t>
      </w:r>
      <w:r w:rsidR="00CB1847">
        <w:rPr>
          <w:rFonts w:ascii="TyponineSans Reg" w:hAnsi="TyponineSans Reg"/>
          <w:bCs/>
          <w:i w:val="0"/>
          <w:szCs w:val="22"/>
        </w:rPr>
        <w:t>a i shodno Uredbi knjižila godišnju amortizaciju za nabavljenu imovinu. N</w:t>
      </w:r>
      <w:r w:rsidR="006170D2">
        <w:rPr>
          <w:rFonts w:ascii="TyponineSans Reg" w:hAnsi="TyponineSans Reg"/>
          <w:bCs/>
          <w:i w:val="0"/>
          <w:szCs w:val="22"/>
        </w:rPr>
        <w:t xml:space="preserve">akon prelaska na vođenje knjiga po propisima Pravilnika o proračunskom računovodstvu </w:t>
      </w:r>
      <w:r w:rsidR="00CB1847">
        <w:rPr>
          <w:rFonts w:ascii="TyponineSans Reg" w:hAnsi="TyponineSans Reg"/>
          <w:bCs/>
          <w:i w:val="0"/>
          <w:szCs w:val="22"/>
        </w:rPr>
        <w:t xml:space="preserve">obračunatu amortizaciju za prethodno navedenu imovimu Ustanova </w:t>
      </w:r>
      <w:r w:rsidRPr="00460A41">
        <w:rPr>
          <w:rFonts w:ascii="TyponineSans Reg" w:hAnsi="TyponineSans Reg"/>
          <w:bCs/>
          <w:i w:val="0"/>
          <w:szCs w:val="22"/>
        </w:rPr>
        <w:t>direktno knjiž</w:t>
      </w:r>
      <w:r w:rsidR="006170D2">
        <w:rPr>
          <w:rFonts w:ascii="TyponineSans Reg" w:hAnsi="TyponineSans Reg"/>
          <w:bCs/>
          <w:i w:val="0"/>
          <w:szCs w:val="22"/>
        </w:rPr>
        <w:t>i</w:t>
      </w:r>
      <w:r w:rsidRPr="00460A41">
        <w:rPr>
          <w:rFonts w:ascii="TyponineSans Reg" w:hAnsi="TyponineSans Reg"/>
          <w:bCs/>
          <w:i w:val="0"/>
          <w:szCs w:val="22"/>
        </w:rPr>
        <w:t xml:space="preserve"> na konto 92222</w:t>
      </w:r>
      <w:r w:rsidR="00460A41">
        <w:rPr>
          <w:rFonts w:ascii="TyponineSans Reg" w:hAnsi="TyponineSans Reg"/>
          <w:bCs/>
          <w:i w:val="0"/>
          <w:szCs w:val="22"/>
        </w:rPr>
        <w:t xml:space="preserve"> – Manjak prihoda od nefinancijske imovine, </w:t>
      </w:r>
      <w:r w:rsidRPr="00460A41">
        <w:rPr>
          <w:rFonts w:ascii="TyponineSans Reg" w:hAnsi="TyponineSans Reg"/>
          <w:bCs/>
          <w:i w:val="0"/>
          <w:szCs w:val="22"/>
        </w:rPr>
        <w:t xml:space="preserve"> o čemu je detaljno pisano u prethodnom </w:t>
      </w:r>
      <w:r w:rsidR="00460A41">
        <w:rPr>
          <w:rFonts w:ascii="TyponineSans Reg" w:hAnsi="TyponineSans Reg"/>
          <w:bCs/>
          <w:i w:val="0"/>
          <w:szCs w:val="22"/>
        </w:rPr>
        <w:t xml:space="preserve">tekstu za </w:t>
      </w:r>
      <w:r w:rsidRPr="00460A41">
        <w:rPr>
          <w:rFonts w:ascii="TyponineSans Reg" w:hAnsi="TyponineSans Reg"/>
          <w:bCs/>
          <w:i w:val="0"/>
          <w:szCs w:val="22"/>
        </w:rPr>
        <w:t>AOP</w:t>
      </w:r>
      <w:r w:rsidR="00460A41">
        <w:rPr>
          <w:rFonts w:ascii="TyponineSans Reg" w:hAnsi="TyponineSans Reg"/>
          <w:bCs/>
          <w:i w:val="0"/>
          <w:szCs w:val="22"/>
        </w:rPr>
        <w:t xml:space="preserve"> 404</w:t>
      </w:r>
      <w:r w:rsidRPr="00460A41">
        <w:rPr>
          <w:rFonts w:ascii="TyponineSans Reg" w:hAnsi="TyponineSans Reg"/>
          <w:bCs/>
          <w:i w:val="0"/>
          <w:szCs w:val="22"/>
        </w:rPr>
        <w:t xml:space="preserve">. </w:t>
      </w:r>
    </w:p>
    <w:p w14:paraId="4014478A" w14:textId="5AF035E9" w:rsidR="00B60CC4" w:rsidRPr="00460A41" w:rsidRDefault="00B60CC4" w:rsidP="00B60CC4">
      <w:pPr>
        <w:pStyle w:val="BodyText2"/>
        <w:rPr>
          <w:rFonts w:ascii="TyponineSans Reg" w:hAnsi="TyponineSans Reg"/>
          <w:bCs/>
          <w:i w:val="0"/>
          <w:szCs w:val="22"/>
        </w:rPr>
      </w:pPr>
    </w:p>
    <w:p w14:paraId="4C510C9A" w14:textId="49FD6881" w:rsidR="00B60CC4" w:rsidRPr="00460A41" w:rsidRDefault="00B60CC4" w:rsidP="00B60CC4">
      <w:pPr>
        <w:pStyle w:val="BodyText2"/>
        <w:rPr>
          <w:rFonts w:ascii="TyponineSans Reg" w:hAnsi="TyponineSans Reg"/>
          <w:bCs/>
          <w:i w:val="0"/>
          <w:szCs w:val="22"/>
        </w:rPr>
      </w:pPr>
      <w:r w:rsidRPr="00460A41">
        <w:rPr>
          <w:rFonts w:ascii="TyponineSans Reg" w:hAnsi="TyponineSans Reg"/>
          <w:bCs/>
          <w:i w:val="0"/>
          <w:szCs w:val="22"/>
        </w:rPr>
        <w:lastRenderedPageBreak/>
        <w:t>Budući da propisani računski plan proračunskog računovodstva ne predviđa zaseban konto za evidentiranje obračunate amortizacije navedeni iznos</w:t>
      </w:r>
      <w:r w:rsidR="006170D2">
        <w:rPr>
          <w:rFonts w:ascii="TyponineSans Reg" w:hAnsi="TyponineSans Reg"/>
          <w:bCs/>
          <w:i w:val="0"/>
          <w:szCs w:val="22"/>
        </w:rPr>
        <w:t xml:space="preserve"> od 2.335.227 kn </w:t>
      </w:r>
      <w:r w:rsidRPr="00460A41">
        <w:rPr>
          <w:rFonts w:ascii="TyponineSans Reg" w:hAnsi="TyponineSans Reg"/>
          <w:bCs/>
          <w:i w:val="0"/>
          <w:szCs w:val="22"/>
        </w:rPr>
        <w:t xml:space="preserve"> je kontiran direktno na</w:t>
      </w:r>
      <w:r w:rsidR="00460A41">
        <w:rPr>
          <w:rFonts w:ascii="TyponineSans Reg" w:hAnsi="TyponineSans Reg"/>
          <w:bCs/>
          <w:i w:val="0"/>
          <w:szCs w:val="22"/>
        </w:rPr>
        <w:t xml:space="preserve"> konta poslovnog rezultata odnosno na konto 92222 – Manjak prihoda od nefinancijske imovine i kao takav direktno utje</w:t>
      </w:r>
      <w:r w:rsidR="006170D2">
        <w:rPr>
          <w:rFonts w:ascii="TyponineSans Reg" w:hAnsi="TyponineSans Reg"/>
          <w:bCs/>
          <w:i w:val="0"/>
          <w:szCs w:val="22"/>
        </w:rPr>
        <w:t>če</w:t>
      </w:r>
      <w:r w:rsidR="00460A41">
        <w:rPr>
          <w:rFonts w:ascii="TyponineSans Reg" w:hAnsi="TyponineSans Reg"/>
          <w:bCs/>
          <w:i w:val="0"/>
          <w:szCs w:val="22"/>
        </w:rPr>
        <w:t xml:space="preserve"> na smanjenje poslovnog rezultata tekuće godine.</w:t>
      </w:r>
      <w:r w:rsidRPr="00460A41">
        <w:rPr>
          <w:rFonts w:ascii="TyponineSans Reg" w:hAnsi="TyponineSans Reg"/>
          <w:bCs/>
          <w:i w:val="0"/>
          <w:szCs w:val="22"/>
        </w:rPr>
        <w:t xml:space="preserve">  </w:t>
      </w:r>
    </w:p>
    <w:p w14:paraId="1ABC3394" w14:textId="77777777" w:rsidR="00B60CC4" w:rsidRPr="009A302B" w:rsidRDefault="00B60CC4" w:rsidP="00B60CC4">
      <w:pPr>
        <w:pStyle w:val="BodyText2"/>
        <w:rPr>
          <w:rFonts w:ascii="TyponineSans Reg" w:hAnsi="TyponineSans Reg"/>
          <w:b/>
          <w:i w:val="0"/>
          <w:sz w:val="24"/>
        </w:rPr>
      </w:pPr>
    </w:p>
    <w:p w14:paraId="18117BEB" w14:textId="77777777" w:rsidR="00B60CC4" w:rsidRDefault="00B60CC4" w:rsidP="00A732D4">
      <w:pPr>
        <w:jc w:val="both"/>
        <w:rPr>
          <w:rFonts w:ascii="TyponineSans Reg" w:hAnsi="TyponineSans Reg"/>
          <w:b/>
          <w:sz w:val="24"/>
          <w:szCs w:val="24"/>
        </w:rPr>
      </w:pPr>
    </w:p>
    <w:p w14:paraId="2A3612E1" w14:textId="77777777" w:rsidR="00B60CC4" w:rsidRDefault="00B60CC4" w:rsidP="00A732D4">
      <w:pPr>
        <w:jc w:val="both"/>
        <w:rPr>
          <w:rFonts w:ascii="TyponineSans Reg" w:hAnsi="TyponineSans Reg"/>
          <w:b/>
          <w:sz w:val="24"/>
          <w:szCs w:val="24"/>
        </w:rPr>
      </w:pPr>
    </w:p>
    <w:p w14:paraId="7CC561B4" w14:textId="71CB9593" w:rsidR="00A732D4" w:rsidRPr="009C42CF" w:rsidRDefault="00A732D4" w:rsidP="00A732D4">
      <w:pPr>
        <w:jc w:val="both"/>
        <w:rPr>
          <w:rFonts w:ascii="TyponineSans Reg" w:hAnsi="TyponineSans Reg"/>
          <w:b/>
          <w:sz w:val="24"/>
          <w:szCs w:val="24"/>
        </w:rPr>
      </w:pPr>
      <w:r w:rsidRPr="009C42CF">
        <w:rPr>
          <w:rFonts w:ascii="TyponineSans Reg" w:hAnsi="TyponineSans Reg"/>
          <w:b/>
          <w:sz w:val="24"/>
          <w:szCs w:val="24"/>
        </w:rPr>
        <w:t>AOP 637</w:t>
      </w:r>
    </w:p>
    <w:p w14:paraId="3B421E64" w14:textId="77777777" w:rsidR="00A732D4" w:rsidRPr="009C42CF" w:rsidRDefault="00A732D4" w:rsidP="00A732D4">
      <w:pPr>
        <w:jc w:val="both"/>
        <w:rPr>
          <w:rFonts w:ascii="TyponineSans Reg" w:hAnsi="TyponineSans Reg"/>
          <w:b/>
          <w:sz w:val="24"/>
          <w:szCs w:val="24"/>
        </w:rPr>
      </w:pPr>
      <w:r w:rsidRPr="009C42CF">
        <w:rPr>
          <w:rFonts w:ascii="TyponineSans Reg" w:hAnsi="TyponineSans Reg"/>
          <w:b/>
          <w:sz w:val="24"/>
          <w:szCs w:val="24"/>
        </w:rPr>
        <w:t>Rashodi budućih razdoblja</w:t>
      </w:r>
    </w:p>
    <w:p w14:paraId="7294C0A9" w14:textId="77777777" w:rsidR="00A732D4" w:rsidRPr="009C42CF" w:rsidRDefault="00A732D4" w:rsidP="00A732D4">
      <w:pPr>
        <w:jc w:val="both"/>
        <w:rPr>
          <w:rFonts w:ascii="TyponineSans Reg" w:hAnsi="TyponineSans Reg"/>
          <w:b/>
          <w:sz w:val="24"/>
          <w:szCs w:val="24"/>
        </w:rPr>
      </w:pPr>
    </w:p>
    <w:p w14:paraId="4FB00788" w14:textId="77777777" w:rsidR="00A732D4" w:rsidRPr="009C42CF" w:rsidRDefault="00A732D4" w:rsidP="00A732D4">
      <w:pPr>
        <w:jc w:val="both"/>
        <w:rPr>
          <w:rFonts w:ascii="TyponineSans Reg" w:hAnsi="TyponineSans Reg"/>
          <w:szCs w:val="22"/>
        </w:rPr>
      </w:pPr>
      <w:r w:rsidRPr="009C42CF">
        <w:rPr>
          <w:rFonts w:ascii="TyponineSans Reg" w:hAnsi="TyponineSans Reg"/>
          <w:szCs w:val="22"/>
        </w:rPr>
        <w:t>U okviru AOP-a 6</w:t>
      </w:r>
      <w:r>
        <w:rPr>
          <w:rFonts w:ascii="TyponineSans Reg" w:hAnsi="TyponineSans Reg"/>
          <w:szCs w:val="22"/>
        </w:rPr>
        <w:t>40</w:t>
      </w:r>
      <w:r w:rsidRPr="009C42CF">
        <w:rPr>
          <w:rFonts w:ascii="TyponineSans Reg" w:hAnsi="TyponineSans Reg"/>
          <w:szCs w:val="22"/>
        </w:rPr>
        <w:t xml:space="preserve"> iskazan je ukupan iznos od 6</w:t>
      </w:r>
      <w:r>
        <w:rPr>
          <w:rFonts w:ascii="TyponineSans Reg" w:hAnsi="TyponineSans Reg"/>
          <w:szCs w:val="22"/>
        </w:rPr>
        <w:t>4</w:t>
      </w:r>
      <w:r w:rsidRPr="009C42CF">
        <w:rPr>
          <w:rFonts w:ascii="TyponineSans Reg" w:hAnsi="TyponineSans Reg"/>
          <w:szCs w:val="22"/>
        </w:rPr>
        <w:t>.523.887 kn koji se odnosi na slijedeće stavke:</w:t>
      </w:r>
    </w:p>
    <w:p w14:paraId="2F1DDB3A" w14:textId="77777777" w:rsidR="00A732D4" w:rsidRPr="009C42CF" w:rsidRDefault="00A732D4" w:rsidP="00A732D4">
      <w:pPr>
        <w:numPr>
          <w:ilvl w:val="0"/>
          <w:numId w:val="32"/>
        </w:numPr>
        <w:jc w:val="both"/>
        <w:rPr>
          <w:rFonts w:ascii="TyponineSans Reg" w:hAnsi="TyponineSans Reg"/>
          <w:szCs w:val="22"/>
        </w:rPr>
      </w:pPr>
      <w:r w:rsidRPr="009C42CF">
        <w:rPr>
          <w:rFonts w:ascii="TyponineSans Reg" w:hAnsi="TyponineSans Reg"/>
          <w:szCs w:val="22"/>
        </w:rPr>
        <w:t>Iskazani salda po obračunskim kontima zaduženja izletničkih ulaznica i naplaćenih kreditnih kartica koje će biti podmirene sljedeće godine  u ukupnom iznosu od 33.796,50 kn</w:t>
      </w:r>
    </w:p>
    <w:p w14:paraId="27700C59" w14:textId="77777777" w:rsidR="00A732D4" w:rsidRPr="009C42CF" w:rsidRDefault="00A732D4" w:rsidP="00A732D4">
      <w:pPr>
        <w:pStyle w:val="BodyText2"/>
        <w:numPr>
          <w:ilvl w:val="0"/>
          <w:numId w:val="29"/>
        </w:numPr>
        <w:rPr>
          <w:rFonts w:ascii="TyponineSans Reg" w:hAnsi="TyponineSans Reg"/>
          <w:i w:val="0"/>
          <w:szCs w:val="22"/>
        </w:rPr>
      </w:pPr>
      <w:r w:rsidRPr="009C42CF">
        <w:rPr>
          <w:rFonts w:ascii="TyponineSans Reg" w:hAnsi="TyponineSans Reg"/>
          <w:i w:val="0"/>
          <w:szCs w:val="22"/>
        </w:rPr>
        <w:t>iznos od 6</w:t>
      </w:r>
      <w:r>
        <w:rPr>
          <w:rFonts w:ascii="TyponineSans Reg" w:hAnsi="TyponineSans Reg"/>
          <w:i w:val="0"/>
          <w:szCs w:val="22"/>
        </w:rPr>
        <w:t>4</w:t>
      </w:r>
      <w:r w:rsidRPr="009C42CF">
        <w:rPr>
          <w:rFonts w:ascii="TyponineSans Reg" w:hAnsi="TyponineSans Reg"/>
          <w:i w:val="0"/>
          <w:szCs w:val="22"/>
        </w:rPr>
        <w:t>.490.090,98 kn koji se odnosi na preostalu neotpisanu vrijednost dugotrajne materijalne imovine koja je na dan 01.01.2013. godine iznosila 121.990.099 kn. Nakon provedenog obračuna amortizacije za 2021. godinu, vrijednost koja je na dan 01.01.202</w:t>
      </w:r>
      <w:r>
        <w:rPr>
          <w:rFonts w:ascii="TyponineSans Reg" w:hAnsi="TyponineSans Reg"/>
          <w:i w:val="0"/>
          <w:szCs w:val="22"/>
        </w:rPr>
        <w:t>1</w:t>
      </w:r>
      <w:r w:rsidRPr="009C42CF">
        <w:rPr>
          <w:rFonts w:ascii="TyponineSans Reg" w:hAnsi="TyponineSans Reg"/>
          <w:i w:val="0"/>
          <w:szCs w:val="22"/>
        </w:rPr>
        <w:t>. godine iznosila 66.825.318,34 kn umanjena je za iznos od 2.335.227,36 kn te je na dan 31.12.202</w:t>
      </w:r>
      <w:r>
        <w:rPr>
          <w:rFonts w:ascii="TyponineSans Reg" w:hAnsi="TyponineSans Reg"/>
          <w:i w:val="0"/>
          <w:szCs w:val="22"/>
        </w:rPr>
        <w:t>1</w:t>
      </w:r>
      <w:r w:rsidRPr="009C42CF">
        <w:rPr>
          <w:rFonts w:ascii="TyponineSans Reg" w:hAnsi="TyponineSans Reg"/>
          <w:i w:val="0"/>
          <w:szCs w:val="22"/>
        </w:rPr>
        <w:t>. godine iznosila 64.490.090,98 kn. Kao što je već prethodno navedeno iznos od 2.335.227,36 kn odnosi se na obračunatu godišnju amortizaciju knjiženu direktno na kontu 92222.</w:t>
      </w:r>
    </w:p>
    <w:p w14:paraId="109688BA" w14:textId="77777777" w:rsidR="00A732D4" w:rsidRPr="009C42CF" w:rsidRDefault="00A732D4" w:rsidP="00A732D4">
      <w:pPr>
        <w:jc w:val="both"/>
        <w:rPr>
          <w:rFonts w:ascii="TyponineSans Reg" w:hAnsi="TyponineSans Reg"/>
          <w:szCs w:val="22"/>
        </w:rPr>
      </w:pPr>
    </w:p>
    <w:p w14:paraId="7A080B9A" w14:textId="77777777" w:rsidR="00A732D4" w:rsidRPr="009C42CF" w:rsidRDefault="00A732D4" w:rsidP="00A732D4">
      <w:pPr>
        <w:jc w:val="both"/>
        <w:rPr>
          <w:rFonts w:ascii="TyponineSans Reg" w:hAnsi="TyponineSans Reg"/>
          <w:szCs w:val="22"/>
        </w:rPr>
      </w:pPr>
      <w:r w:rsidRPr="009C42CF">
        <w:rPr>
          <w:rFonts w:ascii="TyponineSans Reg" w:hAnsi="TyponineSans Reg"/>
          <w:szCs w:val="22"/>
        </w:rPr>
        <w:t xml:space="preserve">U skladu sa navedenim, i u budućim poslovnim godinama, za iznos godišnjeg obračuna amortizacije umanjivati će se stanje na kontu 1911 – Rashodi budućih razdoblja uz istovremeno terećenje konta 92222 – Manjak prihoda od nefinancijske imovine. </w:t>
      </w:r>
    </w:p>
    <w:p w14:paraId="21B21074" w14:textId="77777777" w:rsidR="00A732D4" w:rsidRPr="00486643" w:rsidRDefault="00A732D4" w:rsidP="00A732D4">
      <w:pPr>
        <w:jc w:val="both"/>
        <w:rPr>
          <w:rFonts w:ascii="TyponineSans Reg" w:hAnsi="TyponineSans Reg"/>
          <w:color w:val="0070C0"/>
          <w:szCs w:val="22"/>
        </w:rPr>
      </w:pPr>
    </w:p>
    <w:p w14:paraId="1EF93600" w14:textId="77777777" w:rsidR="00A1592A" w:rsidRDefault="00A1592A" w:rsidP="00D73530">
      <w:pPr>
        <w:jc w:val="both"/>
        <w:rPr>
          <w:rFonts w:ascii="TyponineSans Reg" w:hAnsi="TyponineSans Reg"/>
          <w:b/>
          <w:sz w:val="26"/>
          <w:szCs w:val="26"/>
        </w:rPr>
      </w:pPr>
    </w:p>
    <w:p w14:paraId="6D6C7DBC" w14:textId="77777777" w:rsidR="00A1592A" w:rsidRDefault="00A1592A" w:rsidP="00D73530">
      <w:pPr>
        <w:jc w:val="both"/>
        <w:rPr>
          <w:rFonts w:ascii="TyponineSans Reg" w:hAnsi="TyponineSans Reg"/>
          <w:b/>
          <w:sz w:val="26"/>
          <w:szCs w:val="26"/>
        </w:rPr>
      </w:pPr>
    </w:p>
    <w:p w14:paraId="7215BB75" w14:textId="59996960" w:rsidR="00D73530" w:rsidRPr="00E06758" w:rsidRDefault="00D73530" w:rsidP="00D73530">
      <w:pPr>
        <w:jc w:val="both"/>
        <w:rPr>
          <w:rFonts w:ascii="TyponineSans Reg" w:hAnsi="TyponineSans Reg"/>
          <w:b/>
          <w:sz w:val="24"/>
          <w:szCs w:val="24"/>
        </w:rPr>
      </w:pPr>
      <w:r w:rsidRPr="00E06758">
        <w:rPr>
          <w:rFonts w:ascii="TyponineSans Reg" w:hAnsi="TyponineSans Reg"/>
          <w:b/>
          <w:sz w:val="26"/>
          <w:szCs w:val="26"/>
        </w:rPr>
        <w:t>Bilješka br. 2.4. – Primici i izdaci od financijske imovine</w:t>
      </w:r>
    </w:p>
    <w:p w14:paraId="46C56367" w14:textId="77777777" w:rsidR="00D73530" w:rsidRPr="00E06758" w:rsidRDefault="00D73530" w:rsidP="00D73530">
      <w:pPr>
        <w:jc w:val="both"/>
        <w:rPr>
          <w:rFonts w:ascii="TyponineSans Reg" w:hAnsi="TyponineSans Reg"/>
          <w:b/>
          <w:sz w:val="24"/>
        </w:rPr>
      </w:pPr>
    </w:p>
    <w:p w14:paraId="1D832F7A" w14:textId="43A8D626" w:rsidR="00752053" w:rsidRPr="00E06758" w:rsidRDefault="00752053" w:rsidP="00DE6285">
      <w:pPr>
        <w:jc w:val="both"/>
        <w:rPr>
          <w:rFonts w:ascii="TyponineSans Reg" w:hAnsi="TyponineSans Reg"/>
          <w:szCs w:val="22"/>
        </w:rPr>
      </w:pPr>
      <w:r w:rsidRPr="00E06758">
        <w:rPr>
          <w:rFonts w:ascii="TyponineSans Reg" w:hAnsi="TyponineSans Reg"/>
          <w:szCs w:val="22"/>
        </w:rPr>
        <w:t>U obrascu PR-RAS za</w:t>
      </w:r>
      <w:r w:rsidR="00B208F2" w:rsidRPr="00E06758">
        <w:rPr>
          <w:rFonts w:ascii="TyponineSans Reg" w:hAnsi="TyponineSans Reg"/>
          <w:szCs w:val="22"/>
        </w:rPr>
        <w:t xml:space="preserve"> razdoblje od siječnja do prosinca</w:t>
      </w:r>
      <w:r w:rsidR="00AA50FD" w:rsidRPr="00E06758">
        <w:rPr>
          <w:rFonts w:ascii="TyponineSans Reg" w:hAnsi="TyponineSans Reg"/>
          <w:szCs w:val="22"/>
        </w:rPr>
        <w:t xml:space="preserve"> 20</w:t>
      </w:r>
      <w:r w:rsidR="00E06758">
        <w:rPr>
          <w:rFonts w:ascii="TyponineSans Reg" w:hAnsi="TyponineSans Reg"/>
          <w:szCs w:val="22"/>
        </w:rPr>
        <w:t>21</w:t>
      </w:r>
      <w:r w:rsidRPr="00E06758">
        <w:rPr>
          <w:rFonts w:ascii="TyponineSans Reg" w:hAnsi="TyponineSans Reg"/>
          <w:szCs w:val="22"/>
        </w:rPr>
        <w:t>. godine n</w:t>
      </w:r>
      <w:r w:rsidR="00C82F52" w:rsidRPr="00E06758">
        <w:rPr>
          <w:rFonts w:ascii="TyponineSans Reg" w:hAnsi="TyponineSans Reg"/>
          <w:szCs w:val="22"/>
        </w:rPr>
        <w:t xml:space="preserve">a pozicijama </w:t>
      </w:r>
      <w:r w:rsidR="0005249C" w:rsidRPr="00E06758">
        <w:rPr>
          <w:rFonts w:ascii="TyponineSans Reg" w:hAnsi="TyponineSans Reg"/>
          <w:szCs w:val="22"/>
        </w:rPr>
        <w:t xml:space="preserve">od </w:t>
      </w:r>
      <w:r w:rsidR="00E348EB" w:rsidRPr="00E06758">
        <w:rPr>
          <w:rFonts w:ascii="TyponineSans Reg" w:hAnsi="TyponineSans Reg"/>
          <w:szCs w:val="22"/>
        </w:rPr>
        <w:t>AOP-a  41</w:t>
      </w:r>
      <w:r w:rsidR="00E06758">
        <w:rPr>
          <w:rFonts w:ascii="TyponineSans Reg" w:hAnsi="TyponineSans Reg"/>
          <w:szCs w:val="22"/>
        </w:rPr>
        <w:t>3</w:t>
      </w:r>
      <w:r w:rsidR="00C82F52" w:rsidRPr="00E06758">
        <w:rPr>
          <w:rFonts w:ascii="TyponineSans Reg" w:hAnsi="TyponineSans Reg"/>
          <w:szCs w:val="22"/>
        </w:rPr>
        <w:t xml:space="preserve"> </w:t>
      </w:r>
      <w:r w:rsidR="0005249C" w:rsidRPr="00E06758">
        <w:rPr>
          <w:rFonts w:ascii="TyponineSans Reg" w:hAnsi="TyponineSans Reg"/>
          <w:szCs w:val="22"/>
        </w:rPr>
        <w:t xml:space="preserve">do AOP-a </w:t>
      </w:r>
      <w:r w:rsidR="00E348EB" w:rsidRPr="00E06758">
        <w:rPr>
          <w:rFonts w:ascii="TyponineSans Reg" w:hAnsi="TyponineSans Reg"/>
          <w:szCs w:val="22"/>
        </w:rPr>
        <w:t>6</w:t>
      </w:r>
      <w:r w:rsidR="00E06758">
        <w:rPr>
          <w:rFonts w:ascii="TyponineSans Reg" w:hAnsi="TyponineSans Reg"/>
          <w:szCs w:val="22"/>
        </w:rPr>
        <w:t>31</w:t>
      </w:r>
      <w:r w:rsidRPr="00E06758">
        <w:rPr>
          <w:rFonts w:ascii="TyponineSans Reg" w:hAnsi="TyponineSans Reg"/>
          <w:szCs w:val="22"/>
        </w:rPr>
        <w:t xml:space="preserve"> </w:t>
      </w:r>
      <w:r w:rsidR="00C82F52" w:rsidRPr="00E06758">
        <w:rPr>
          <w:rFonts w:ascii="TyponineSans Reg" w:hAnsi="TyponineSans Reg"/>
          <w:szCs w:val="22"/>
        </w:rPr>
        <w:t>Ustanova</w:t>
      </w:r>
      <w:r w:rsidRPr="00E06758">
        <w:rPr>
          <w:rFonts w:ascii="TyponineSans Reg" w:hAnsi="TyponineSans Reg"/>
          <w:szCs w:val="22"/>
        </w:rPr>
        <w:t xml:space="preserve"> nema evidentiranih primitaka i </w:t>
      </w:r>
      <w:r w:rsidR="00AA50FD" w:rsidRPr="00E06758">
        <w:rPr>
          <w:rFonts w:ascii="TyponineSans Reg" w:hAnsi="TyponineSans Reg"/>
          <w:szCs w:val="22"/>
        </w:rPr>
        <w:t>izdataka za financijsku imovinu budući da je Ustanova sve izdatke tekuće godine financirala iz vlastitih sredstava te sredstava donacija</w:t>
      </w:r>
      <w:r w:rsidR="00E06758">
        <w:rPr>
          <w:rFonts w:ascii="TyponineSans Reg" w:hAnsi="TyponineSans Reg"/>
          <w:szCs w:val="22"/>
        </w:rPr>
        <w:t xml:space="preserve"> i financiranja iz projekata.</w:t>
      </w:r>
      <w:r w:rsidRPr="00E06758">
        <w:rPr>
          <w:rFonts w:ascii="TyponineSans Reg" w:hAnsi="TyponineSans Reg"/>
          <w:szCs w:val="22"/>
        </w:rPr>
        <w:t xml:space="preserve"> </w:t>
      </w:r>
      <w:r w:rsidR="00C82F52" w:rsidRPr="00E06758">
        <w:rPr>
          <w:rFonts w:ascii="TyponineSans Reg" w:hAnsi="TyponineSans Reg"/>
          <w:szCs w:val="22"/>
        </w:rPr>
        <w:t xml:space="preserve"> </w:t>
      </w:r>
    </w:p>
    <w:p w14:paraId="25F41330" w14:textId="77777777" w:rsidR="004174DD" w:rsidRPr="00E06758" w:rsidRDefault="004174DD" w:rsidP="00A1045D">
      <w:pPr>
        <w:jc w:val="both"/>
        <w:rPr>
          <w:rFonts w:ascii="TyponineSans Reg" w:hAnsi="TyponineSans Reg"/>
          <w:b/>
          <w:sz w:val="24"/>
          <w:bdr w:val="single" w:sz="4" w:space="0" w:color="auto"/>
        </w:rPr>
      </w:pPr>
    </w:p>
    <w:p w14:paraId="0CE31F9F" w14:textId="77777777" w:rsidR="006170D2" w:rsidRDefault="006170D2" w:rsidP="00875290">
      <w:pPr>
        <w:jc w:val="both"/>
        <w:rPr>
          <w:rFonts w:ascii="TyponineSans Reg" w:hAnsi="TyponineSans Reg"/>
          <w:b/>
          <w:sz w:val="24"/>
          <w:szCs w:val="24"/>
        </w:rPr>
      </w:pPr>
    </w:p>
    <w:p w14:paraId="537856DA" w14:textId="77777777" w:rsidR="006170D2" w:rsidRDefault="006170D2" w:rsidP="00875290">
      <w:pPr>
        <w:jc w:val="both"/>
        <w:rPr>
          <w:rFonts w:ascii="TyponineSans Reg" w:hAnsi="TyponineSans Reg"/>
          <w:b/>
          <w:sz w:val="24"/>
          <w:szCs w:val="24"/>
        </w:rPr>
      </w:pPr>
    </w:p>
    <w:p w14:paraId="72E7226A" w14:textId="0040DD59" w:rsidR="00875290" w:rsidRPr="00E06758" w:rsidRDefault="00875290" w:rsidP="00875290">
      <w:pPr>
        <w:jc w:val="both"/>
        <w:rPr>
          <w:rFonts w:ascii="TyponineSans Reg" w:hAnsi="TyponineSans Reg"/>
          <w:b/>
          <w:sz w:val="24"/>
          <w:szCs w:val="24"/>
        </w:rPr>
      </w:pPr>
      <w:r w:rsidRPr="00E06758">
        <w:rPr>
          <w:rFonts w:ascii="TyponineSans Reg" w:hAnsi="TyponineSans Reg"/>
          <w:b/>
          <w:sz w:val="24"/>
          <w:szCs w:val="24"/>
        </w:rPr>
        <w:t>AOP 64</w:t>
      </w:r>
      <w:r w:rsidR="00E06758">
        <w:rPr>
          <w:rFonts w:ascii="TyponineSans Reg" w:hAnsi="TyponineSans Reg"/>
          <w:b/>
          <w:sz w:val="24"/>
          <w:szCs w:val="24"/>
        </w:rPr>
        <w:t>5</w:t>
      </w:r>
      <w:r w:rsidRPr="00E06758">
        <w:rPr>
          <w:rFonts w:ascii="TyponineSans Reg" w:hAnsi="TyponineSans Reg"/>
          <w:b/>
          <w:sz w:val="24"/>
          <w:szCs w:val="24"/>
        </w:rPr>
        <w:t xml:space="preserve"> - 64</w:t>
      </w:r>
      <w:r w:rsidR="00E06758">
        <w:rPr>
          <w:rFonts w:ascii="TyponineSans Reg" w:hAnsi="TyponineSans Reg"/>
          <w:b/>
          <w:sz w:val="24"/>
          <w:szCs w:val="24"/>
        </w:rPr>
        <w:t>8</w:t>
      </w:r>
    </w:p>
    <w:p w14:paraId="28202050" w14:textId="4D20D62F" w:rsidR="00875290" w:rsidRPr="00E06758" w:rsidRDefault="00875290" w:rsidP="00875290">
      <w:pPr>
        <w:jc w:val="both"/>
        <w:rPr>
          <w:rFonts w:ascii="TyponineSans Reg" w:hAnsi="TyponineSans Reg"/>
          <w:b/>
          <w:sz w:val="24"/>
          <w:szCs w:val="24"/>
        </w:rPr>
      </w:pPr>
      <w:r w:rsidRPr="00E06758">
        <w:rPr>
          <w:rFonts w:ascii="TyponineSans Reg" w:hAnsi="TyponineSans Reg"/>
          <w:b/>
          <w:sz w:val="24"/>
          <w:szCs w:val="24"/>
        </w:rPr>
        <w:t>Prosječan broj zaposlenika</w:t>
      </w:r>
    </w:p>
    <w:p w14:paraId="7FC5B80A" w14:textId="5F325835" w:rsidR="00875290" w:rsidRPr="00E06758" w:rsidRDefault="00875290" w:rsidP="00875290">
      <w:pPr>
        <w:jc w:val="both"/>
        <w:rPr>
          <w:rFonts w:ascii="TyponineSans Reg" w:hAnsi="TyponineSans Reg"/>
          <w:bCs/>
          <w:sz w:val="24"/>
          <w:szCs w:val="24"/>
        </w:rPr>
      </w:pPr>
    </w:p>
    <w:p w14:paraId="296EDDC5" w14:textId="73541EC0" w:rsidR="00875290" w:rsidRPr="00E06758" w:rsidRDefault="00875290" w:rsidP="00875290">
      <w:pPr>
        <w:jc w:val="both"/>
        <w:rPr>
          <w:rFonts w:ascii="TyponineSans Reg" w:hAnsi="TyponineSans Reg"/>
          <w:bCs/>
          <w:szCs w:val="22"/>
        </w:rPr>
      </w:pPr>
      <w:r w:rsidRPr="00E06758">
        <w:rPr>
          <w:rFonts w:ascii="TyponineSans Reg" w:hAnsi="TyponineSans Reg"/>
          <w:bCs/>
          <w:szCs w:val="22"/>
        </w:rPr>
        <w:t>Prosječan broj zaposlenih na osnovi stanja na početku i na kraju izvještajnog razdoblja na dan 31.12.20</w:t>
      </w:r>
      <w:r w:rsidR="006058E2" w:rsidRPr="00E06758">
        <w:rPr>
          <w:rFonts w:ascii="TyponineSans Reg" w:hAnsi="TyponineSans Reg"/>
          <w:bCs/>
          <w:szCs w:val="22"/>
        </w:rPr>
        <w:t>2</w:t>
      </w:r>
      <w:r w:rsidR="00447129">
        <w:rPr>
          <w:rFonts w:ascii="TyponineSans Reg" w:hAnsi="TyponineSans Reg"/>
          <w:bCs/>
          <w:szCs w:val="22"/>
        </w:rPr>
        <w:t>0</w:t>
      </w:r>
      <w:r w:rsidRPr="00E06758">
        <w:rPr>
          <w:rFonts w:ascii="TyponineSans Reg" w:hAnsi="TyponineSans Reg"/>
          <w:bCs/>
          <w:szCs w:val="22"/>
        </w:rPr>
        <w:t>. g. je 2</w:t>
      </w:r>
      <w:r w:rsidR="00E06758">
        <w:rPr>
          <w:rFonts w:ascii="TyponineSans Reg" w:hAnsi="TyponineSans Reg"/>
          <w:bCs/>
          <w:szCs w:val="22"/>
        </w:rPr>
        <w:t>46</w:t>
      </w:r>
      <w:r w:rsidRPr="00E06758">
        <w:rPr>
          <w:rFonts w:ascii="TyponineSans Reg" w:hAnsi="TyponineSans Reg"/>
          <w:bCs/>
          <w:szCs w:val="22"/>
        </w:rPr>
        <w:t xml:space="preserve"> zaposlenika dok je na dan 31.12.20</w:t>
      </w:r>
      <w:r w:rsidR="00E06758">
        <w:rPr>
          <w:rFonts w:ascii="TyponineSans Reg" w:hAnsi="TyponineSans Reg"/>
          <w:bCs/>
          <w:szCs w:val="22"/>
        </w:rPr>
        <w:t>21</w:t>
      </w:r>
      <w:r w:rsidRPr="00E06758">
        <w:rPr>
          <w:rFonts w:ascii="TyponineSans Reg" w:hAnsi="TyponineSans Reg"/>
          <w:bCs/>
          <w:szCs w:val="22"/>
        </w:rPr>
        <w:t>. godine bio 2</w:t>
      </w:r>
      <w:r w:rsidR="00E06758">
        <w:rPr>
          <w:rFonts w:ascii="TyponineSans Reg" w:hAnsi="TyponineSans Reg"/>
          <w:bCs/>
          <w:szCs w:val="22"/>
        </w:rPr>
        <w:t>37</w:t>
      </w:r>
      <w:r w:rsidRPr="00E06758">
        <w:rPr>
          <w:rFonts w:ascii="TyponineSans Reg" w:hAnsi="TyponineSans Reg"/>
          <w:bCs/>
          <w:szCs w:val="22"/>
        </w:rPr>
        <w:t xml:space="preserve"> zaposlenika . Do smanjenja  prosječno</w:t>
      </w:r>
      <w:r w:rsidR="00215A14" w:rsidRPr="00E06758">
        <w:rPr>
          <w:rFonts w:ascii="TyponineSans Reg" w:hAnsi="TyponineSans Reg"/>
          <w:bCs/>
          <w:szCs w:val="22"/>
        </w:rPr>
        <w:t>g</w:t>
      </w:r>
      <w:r w:rsidRPr="00E06758">
        <w:rPr>
          <w:rFonts w:ascii="TyponineSans Reg" w:hAnsi="TyponineSans Reg"/>
          <w:bCs/>
          <w:szCs w:val="22"/>
        </w:rPr>
        <w:t xml:space="preserve"> </w:t>
      </w:r>
      <w:r w:rsidR="00215A14" w:rsidRPr="00E06758">
        <w:rPr>
          <w:rFonts w:ascii="TyponineSans Reg" w:hAnsi="TyponineSans Reg"/>
          <w:bCs/>
          <w:szCs w:val="22"/>
        </w:rPr>
        <w:t xml:space="preserve">broja </w:t>
      </w:r>
      <w:r w:rsidRPr="00E06758">
        <w:rPr>
          <w:rFonts w:ascii="TyponineSans Reg" w:hAnsi="TyponineSans Reg"/>
          <w:bCs/>
          <w:szCs w:val="22"/>
        </w:rPr>
        <w:t xml:space="preserve">zaposlenih došlo je iz razloga što </w:t>
      </w:r>
      <w:r w:rsidR="00E06758">
        <w:rPr>
          <w:rFonts w:ascii="TyponineSans Reg" w:hAnsi="TyponineSans Reg"/>
          <w:bCs/>
          <w:szCs w:val="22"/>
        </w:rPr>
        <w:t xml:space="preserve">su sezonski zaposlenici prije iskoristili sve odrađene </w:t>
      </w:r>
      <w:r w:rsidR="00447129">
        <w:rPr>
          <w:rFonts w:ascii="TyponineSans Reg" w:hAnsi="TyponineSans Reg"/>
          <w:bCs/>
          <w:szCs w:val="22"/>
        </w:rPr>
        <w:t>sate tijekom glavne turističke sezone</w:t>
      </w:r>
      <w:r w:rsidRPr="00E06758">
        <w:rPr>
          <w:rFonts w:ascii="TyponineSans Reg" w:hAnsi="TyponineSans Reg"/>
          <w:bCs/>
          <w:szCs w:val="22"/>
        </w:rPr>
        <w:t xml:space="preserve"> </w:t>
      </w:r>
      <w:r w:rsidR="00E06758">
        <w:rPr>
          <w:rFonts w:ascii="TyponineSans Reg" w:hAnsi="TyponineSans Reg"/>
          <w:bCs/>
          <w:szCs w:val="22"/>
        </w:rPr>
        <w:t>do karaja 2021. godine.</w:t>
      </w:r>
      <w:r w:rsidRPr="00E06758">
        <w:rPr>
          <w:rFonts w:ascii="TyponineSans Reg" w:hAnsi="TyponineSans Reg"/>
          <w:bCs/>
          <w:szCs w:val="22"/>
        </w:rPr>
        <w:t xml:space="preserve"> </w:t>
      </w:r>
      <w:r w:rsidR="00447129">
        <w:rPr>
          <w:rFonts w:ascii="TyponineSans Reg" w:hAnsi="TyponineSans Reg"/>
          <w:bCs/>
          <w:szCs w:val="22"/>
        </w:rPr>
        <w:t>P</w:t>
      </w:r>
      <w:r w:rsidRPr="00E06758">
        <w:rPr>
          <w:rFonts w:ascii="TyponineSans Reg" w:hAnsi="TyponineSans Reg"/>
          <w:bCs/>
          <w:szCs w:val="22"/>
        </w:rPr>
        <w:t>rosječnim broj zaposlenih na osnovi sati rada na dan 31.12.20</w:t>
      </w:r>
      <w:r w:rsidR="006058E2" w:rsidRPr="00E06758">
        <w:rPr>
          <w:rFonts w:ascii="TyponineSans Reg" w:hAnsi="TyponineSans Reg"/>
          <w:bCs/>
          <w:szCs w:val="22"/>
        </w:rPr>
        <w:t>2</w:t>
      </w:r>
      <w:r w:rsidR="00447129">
        <w:rPr>
          <w:rFonts w:ascii="TyponineSans Reg" w:hAnsi="TyponineSans Reg"/>
          <w:bCs/>
          <w:szCs w:val="22"/>
        </w:rPr>
        <w:t>0</w:t>
      </w:r>
      <w:r w:rsidRPr="00E06758">
        <w:rPr>
          <w:rFonts w:ascii="TyponineSans Reg" w:hAnsi="TyponineSans Reg"/>
          <w:bCs/>
          <w:szCs w:val="22"/>
        </w:rPr>
        <w:t xml:space="preserve">. g. ostvareni </w:t>
      </w:r>
      <w:r w:rsidR="00447129">
        <w:rPr>
          <w:rFonts w:ascii="TyponineSans Reg" w:hAnsi="TyponineSans Reg"/>
          <w:bCs/>
          <w:szCs w:val="22"/>
        </w:rPr>
        <w:t>s</w:t>
      </w:r>
      <w:r w:rsidRPr="00E06758">
        <w:rPr>
          <w:rFonts w:ascii="TyponineSans Reg" w:hAnsi="TyponineSans Reg"/>
          <w:bCs/>
          <w:szCs w:val="22"/>
        </w:rPr>
        <w:t xml:space="preserve">u broju od </w:t>
      </w:r>
      <w:r w:rsidR="006058E2" w:rsidRPr="00E06758">
        <w:rPr>
          <w:rFonts w:ascii="TyponineSans Reg" w:hAnsi="TyponineSans Reg"/>
          <w:bCs/>
          <w:szCs w:val="22"/>
        </w:rPr>
        <w:t>245</w:t>
      </w:r>
      <w:r w:rsidRPr="00E06758">
        <w:rPr>
          <w:rFonts w:ascii="TyponineSans Reg" w:hAnsi="TyponineSans Reg"/>
          <w:bCs/>
          <w:szCs w:val="22"/>
        </w:rPr>
        <w:t xml:space="preserve"> zaposlenika </w:t>
      </w:r>
      <w:r w:rsidR="00E06758">
        <w:rPr>
          <w:rFonts w:ascii="TyponineSans Reg" w:hAnsi="TyponineSans Reg"/>
          <w:bCs/>
          <w:szCs w:val="22"/>
        </w:rPr>
        <w:t xml:space="preserve">na početku </w:t>
      </w:r>
      <w:r w:rsidRPr="00E06758">
        <w:rPr>
          <w:rFonts w:ascii="TyponineSans Reg" w:hAnsi="TyponineSans Reg"/>
          <w:bCs/>
          <w:szCs w:val="22"/>
        </w:rPr>
        <w:t>dok je prosječan broj zaposlenih na osnovi sati rada 31.12.20</w:t>
      </w:r>
      <w:r w:rsidR="00E06758">
        <w:rPr>
          <w:rFonts w:ascii="TyponineSans Reg" w:hAnsi="TyponineSans Reg"/>
          <w:bCs/>
          <w:szCs w:val="22"/>
        </w:rPr>
        <w:t>21</w:t>
      </w:r>
      <w:r w:rsidRPr="00E06758">
        <w:rPr>
          <w:rFonts w:ascii="TyponineSans Reg" w:hAnsi="TyponineSans Reg"/>
          <w:bCs/>
          <w:szCs w:val="22"/>
        </w:rPr>
        <w:t xml:space="preserve">. bio </w:t>
      </w:r>
      <w:r w:rsidR="00447129">
        <w:rPr>
          <w:rFonts w:ascii="TyponineSans Reg" w:hAnsi="TyponineSans Reg"/>
          <w:bCs/>
          <w:szCs w:val="22"/>
        </w:rPr>
        <w:t xml:space="preserve">je </w:t>
      </w:r>
      <w:r w:rsidRPr="00E06758">
        <w:rPr>
          <w:rFonts w:ascii="TyponineSans Reg" w:hAnsi="TyponineSans Reg"/>
          <w:bCs/>
          <w:szCs w:val="22"/>
        </w:rPr>
        <w:t>2</w:t>
      </w:r>
      <w:r w:rsidR="00E06758">
        <w:rPr>
          <w:rFonts w:ascii="TyponineSans Reg" w:hAnsi="TyponineSans Reg"/>
          <w:bCs/>
          <w:szCs w:val="22"/>
        </w:rPr>
        <w:t>52</w:t>
      </w:r>
      <w:r w:rsidRPr="00E06758">
        <w:rPr>
          <w:rFonts w:ascii="TyponineSans Reg" w:hAnsi="TyponineSans Reg"/>
          <w:bCs/>
          <w:szCs w:val="22"/>
        </w:rPr>
        <w:t xml:space="preserve"> zaposlenika .</w:t>
      </w:r>
    </w:p>
    <w:p w14:paraId="095995B4" w14:textId="6656BD0C" w:rsidR="00875290" w:rsidRPr="00E06758" w:rsidRDefault="00875290" w:rsidP="00875290">
      <w:pPr>
        <w:jc w:val="both"/>
        <w:rPr>
          <w:rFonts w:ascii="TyponineSans Reg" w:hAnsi="TyponineSans Reg"/>
          <w:bCs/>
          <w:sz w:val="24"/>
          <w:szCs w:val="24"/>
        </w:rPr>
      </w:pPr>
      <w:r w:rsidRPr="00E06758">
        <w:rPr>
          <w:rFonts w:ascii="TyponineSans Reg" w:hAnsi="TyponineSans Reg"/>
          <w:bCs/>
          <w:szCs w:val="22"/>
        </w:rPr>
        <w:t>Ustanova tijekom 20</w:t>
      </w:r>
      <w:r w:rsidR="006058E2" w:rsidRPr="00E06758">
        <w:rPr>
          <w:rFonts w:ascii="TyponineSans Reg" w:hAnsi="TyponineSans Reg"/>
          <w:bCs/>
          <w:szCs w:val="22"/>
        </w:rPr>
        <w:t>2</w:t>
      </w:r>
      <w:r w:rsidR="00E06758">
        <w:rPr>
          <w:rFonts w:ascii="TyponineSans Reg" w:hAnsi="TyponineSans Reg"/>
          <w:bCs/>
          <w:szCs w:val="22"/>
        </w:rPr>
        <w:t>1</w:t>
      </w:r>
      <w:r w:rsidRPr="00E06758">
        <w:rPr>
          <w:rFonts w:ascii="TyponineSans Reg" w:hAnsi="TyponineSans Reg"/>
          <w:bCs/>
          <w:szCs w:val="22"/>
        </w:rPr>
        <w:t>. godine nije koristila mjere aktivne politike zapošljavanja</w:t>
      </w:r>
      <w:r w:rsidR="00E06758">
        <w:rPr>
          <w:rFonts w:ascii="TyponineSans Reg" w:hAnsi="TyponineSans Reg"/>
          <w:bCs/>
          <w:sz w:val="24"/>
          <w:szCs w:val="24"/>
        </w:rPr>
        <w:t xml:space="preserve"> samo je dobila refundaciju doprinosa za korištene mjere u 2020. godini.</w:t>
      </w:r>
    </w:p>
    <w:p w14:paraId="6C9F1656" w14:textId="4AA8D9E3" w:rsidR="00E377BB" w:rsidRDefault="00E377BB" w:rsidP="001B3DD7">
      <w:pPr>
        <w:jc w:val="both"/>
        <w:rPr>
          <w:rFonts w:ascii="TyponineSans Reg" w:hAnsi="TyponineSans Reg"/>
          <w:b/>
          <w:sz w:val="24"/>
          <w:bdr w:val="single" w:sz="4" w:space="0" w:color="auto"/>
        </w:rPr>
      </w:pPr>
    </w:p>
    <w:p w14:paraId="4ABBC8E2" w14:textId="77777777" w:rsidR="006170D2" w:rsidRDefault="006170D2" w:rsidP="001B3DD7">
      <w:pPr>
        <w:jc w:val="both"/>
        <w:rPr>
          <w:rFonts w:ascii="TyponineSans Reg" w:hAnsi="TyponineSans Reg"/>
          <w:b/>
          <w:sz w:val="24"/>
          <w:bdr w:val="single" w:sz="4" w:space="0" w:color="auto"/>
        </w:rPr>
      </w:pPr>
    </w:p>
    <w:p w14:paraId="7F426D42" w14:textId="63D139B1" w:rsidR="001B3DD7" w:rsidRPr="00B83FAE" w:rsidRDefault="001B3DD7" w:rsidP="001B3DD7">
      <w:pPr>
        <w:jc w:val="both"/>
        <w:rPr>
          <w:rFonts w:ascii="TyponineSans Reg" w:hAnsi="TyponineSans Reg"/>
          <w:b/>
          <w:sz w:val="24"/>
          <w:bdr w:val="single" w:sz="4" w:space="0" w:color="auto"/>
        </w:rPr>
      </w:pPr>
      <w:r w:rsidRPr="00B83FAE">
        <w:rPr>
          <w:rFonts w:ascii="TyponineSans Reg" w:hAnsi="TyponineSans Reg"/>
          <w:b/>
          <w:sz w:val="24"/>
          <w:bdr w:val="single" w:sz="4" w:space="0" w:color="auto"/>
        </w:rPr>
        <w:lastRenderedPageBreak/>
        <w:t xml:space="preserve">Bilješka br. 3.:  </w:t>
      </w:r>
      <w:r w:rsidRPr="00B83FAE">
        <w:rPr>
          <w:rFonts w:ascii="TyponineSans Reg" w:hAnsi="TyponineSans Reg"/>
          <w:b/>
          <w:sz w:val="26"/>
          <w:szCs w:val="26"/>
          <w:bdr w:val="single" w:sz="4" w:space="0" w:color="auto"/>
        </w:rPr>
        <w:t>Bilješke</w:t>
      </w:r>
      <w:r w:rsidRPr="00B83FAE">
        <w:rPr>
          <w:rFonts w:ascii="TyponineSans Reg" w:hAnsi="TyponineSans Reg"/>
          <w:b/>
          <w:sz w:val="24"/>
          <w:bdr w:val="single" w:sz="4" w:space="0" w:color="auto"/>
        </w:rPr>
        <w:t xml:space="preserve"> uz Bilancu Ustanove </w:t>
      </w:r>
    </w:p>
    <w:p w14:paraId="32666C9F" w14:textId="77777777" w:rsidR="001B3DD7" w:rsidRPr="00B83FAE" w:rsidRDefault="001B3DD7" w:rsidP="001B3DD7">
      <w:pPr>
        <w:jc w:val="both"/>
        <w:rPr>
          <w:rFonts w:ascii="TyponineSans Reg" w:hAnsi="TyponineSans Reg"/>
          <w:b/>
          <w:sz w:val="24"/>
          <w:bdr w:val="single" w:sz="4" w:space="0" w:color="auto"/>
        </w:rPr>
      </w:pPr>
    </w:p>
    <w:p w14:paraId="1E61DC1E" w14:textId="77777777" w:rsidR="001B3DD7" w:rsidRPr="00B83FAE" w:rsidRDefault="001B3DD7" w:rsidP="001B3DD7">
      <w:pPr>
        <w:jc w:val="both"/>
        <w:rPr>
          <w:rFonts w:ascii="TyponineSans Reg" w:hAnsi="TyponineSans Reg"/>
          <w:b/>
          <w:sz w:val="26"/>
          <w:szCs w:val="26"/>
        </w:rPr>
      </w:pPr>
      <w:r w:rsidRPr="00B83FAE">
        <w:rPr>
          <w:rFonts w:ascii="TyponineSans Reg" w:hAnsi="TyponineSans Reg"/>
          <w:b/>
          <w:sz w:val="26"/>
          <w:szCs w:val="26"/>
        </w:rPr>
        <w:t>Bilješka br. 3.1. – Imovina Ustanove</w:t>
      </w:r>
    </w:p>
    <w:p w14:paraId="2B4621E6" w14:textId="77777777" w:rsidR="001B3DD7" w:rsidRPr="00B83FAE" w:rsidRDefault="001B3DD7" w:rsidP="001B3DD7">
      <w:pPr>
        <w:jc w:val="both"/>
        <w:rPr>
          <w:rFonts w:ascii="TyponineSans Reg" w:hAnsi="TyponineSans Reg"/>
          <w:b/>
          <w:sz w:val="24"/>
          <w:szCs w:val="24"/>
        </w:rPr>
      </w:pPr>
    </w:p>
    <w:p w14:paraId="3C8F3478" w14:textId="77777777" w:rsidR="001B3DD7" w:rsidRPr="00F01334" w:rsidRDefault="001B3DD7" w:rsidP="001B3DD7">
      <w:pPr>
        <w:jc w:val="both"/>
        <w:rPr>
          <w:rFonts w:ascii="TyponineSans Reg" w:hAnsi="TyponineSans Reg"/>
          <w:b/>
          <w:sz w:val="24"/>
          <w:szCs w:val="24"/>
        </w:rPr>
      </w:pPr>
      <w:r w:rsidRPr="00F01334">
        <w:rPr>
          <w:rFonts w:ascii="TyponineSans Reg" w:hAnsi="TyponineSans Reg"/>
          <w:b/>
          <w:sz w:val="24"/>
          <w:szCs w:val="24"/>
        </w:rPr>
        <w:t>AOP 007</w:t>
      </w:r>
    </w:p>
    <w:p w14:paraId="5CDCB71C" w14:textId="77777777" w:rsidR="001B3DD7" w:rsidRPr="00F01334" w:rsidRDefault="001B3DD7" w:rsidP="001B3DD7">
      <w:pPr>
        <w:jc w:val="both"/>
        <w:rPr>
          <w:rFonts w:ascii="TyponineSans Reg" w:hAnsi="TyponineSans Reg"/>
          <w:b/>
          <w:sz w:val="24"/>
          <w:szCs w:val="24"/>
        </w:rPr>
      </w:pPr>
      <w:r w:rsidRPr="00F01334">
        <w:rPr>
          <w:rFonts w:ascii="TyponineSans Reg" w:hAnsi="TyponineSans Reg"/>
          <w:b/>
          <w:sz w:val="24"/>
          <w:szCs w:val="24"/>
        </w:rPr>
        <w:t>Proizvedena dugotrajna imovina</w:t>
      </w:r>
    </w:p>
    <w:p w14:paraId="1A698D02" w14:textId="77777777" w:rsidR="001B3DD7" w:rsidRPr="00F01334" w:rsidRDefault="001B3DD7" w:rsidP="001B3DD7">
      <w:pPr>
        <w:jc w:val="both"/>
        <w:rPr>
          <w:rFonts w:ascii="TyponineSans Reg" w:hAnsi="TyponineSans Reg"/>
          <w:b/>
          <w:sz w:val="24"/>
          <w:szCs w:val="24"/>
        </w:rPr>
      </w:pPr>
    </w:p>
    <w:p w14:paraId="5E53456A" w14:textId="078A47BF" w:rsidR="001B3DD7" w:rsidRDefault="001B3DD7" w:rsidP="001B3DD7">
      <w:pPr>
        <w:jc w:val="both"/>
        <w:rPr>
          <w:rFonts w:ascii="TyponineSans Reg" w:hAnsi="TyponineSans Reg"/>
          <w:sz w:val="24"/>
          <w:szCs w:val="24"/>
        </w:rPr>
      </w:pPr>
      <w:r w:rsidRPr="00F01334">
        <w:rPr>
          <w:rFonts w:ascii="TyponineSans Reg" w:hAnsi="TyponineSans Reg"/>
          <w:sz w:val="24"/>
          <w:szCs w:val="24"/>
        </w:rPr>
        <w:t>Sadašnja vrijednost proizvedene dugotrajne imovine Ustanove na dan 31.12.2021. godine iskazana je u vrijednosti od 11</w:t>
      </w:r>
      <w:r w:rsidR="009C280D">
        <w:rPr>
          <w:rFonts w:ascii="TyponineSans Reg" w:hAnsi="TyponineSans Reg"/>
          <w:sz w:val="24"/>
          <w:szCs w:val="24"/>
        </w:rPr>
        <w:t>7</w:t>
      </w:r>
      <w:r w:rsidRPr="00F01334">
        <w:rPr>
          <w:rFonts w:ascii="TyponineSans Reg" w:hAnsi="TyponineSans Reg"/>
          <w:sz w:val="24"/>
          <w:szCs w:val="24"/>
        </w:rPr>
        <w:t>.</w:t>
      </w:r>
      <w:r w:rsidR="009C280D">
        <w:rPr>
          <w:rFonts w:ascii="TyponineSans Reg" w:hAnsi="TyponineSans Reg"/>
          <w:sz w:val="24"/>
          <w:szCs w:val="24"/>
        </w:rPr>
        <w:t>473</w:t>
      </w:r>
      <w:r w:rsidRPr="00F01334">
        <w:rPr>
          <w:rFonts w:ascii="TyponineSans Reg" w:hAnsi="TyponineSans Reg"/>
          <w:sz w:val="24"/>
          <w:szCs w:val="24"/>
        </w:rPr>
        <w:t>.</w:t>
      </w:r>
      <w:r w:rsidR="009C280D">
        <w:rPr>
          <w:rFonts w:ascii="TyponineSans Reg" w:hAnsi="TyponineSans Reg"/>
          <w:sz w:val="24"/>
          <w:szCs w:val="24"/>
        </w:rPr>
        <w:t>492</w:t>
      </w:r>
      <w:r w:rsidRPr="00F01334">
        <w:rPr>
          <w:rFonts w:ascii="TyponineSans Reg" w:hAnsi="TyponineSans Reg"/>
          <w:sz w:val="24"/>
          <w:szCs w:val="24"/>
        </w:rPr>
        <w:t xml:space="preserve"> kn, što je za 2</w:t>
      </w:r>
      <w:r w:rsidR="009C280D">
        <w:rPr>
          <w:rFonts w:ascii="TyponineSans Reg" w:hAnsi="TyponineSans Reg"/>
          <w:sz w:val="24"/>
          <w:szCs w:val="24"/>
        </w:rPr>
        <w:t>9</w:t>
      </w:r>
      <w:r w:rsidRPr="00F01334">
        <w:rPr>
          <w:rFonts w:ascii="TyponineSans Reg" w:hAnsi="TyponineSans Reg"/>
          <w:sz w:val="24"/>
          <w:szCs w:val="24"/>
        </w:rPr>
        <w:t>,</w:t>
      </w:r>
      <w:r w:rsidR="009C280D">
        <w:rPr>
          <w:rFonts w:ascii="TyponineSans Reg" w:hAnsi="TyponineSans Reg"/>
          <w:sz w:val="24"/>
          <w:szCs w:val="24"/>
        </w:rPr>
        <w:t>8</w:t>
      </w:r>
      <w:r w:rsidRPr="00F01334">
        <w:rPr>
          <w:rFonts w:ascii="TyponineSans Reg" w:hAnsi="TyponineSans Reg"/>
          <w:sz w:val="24"/>
          <w:szCs w:val="24"/>
        </w:rPr>
        <w:t xml:space="preserve"> % više u odnosu na prethodnu godinu. Najznačajnije  povećanje sadašnje vrijednosti imovine evidentirano je u okviru AOP-a 027 -  Prijevoznih sredstava u pomorskom prometu,  budući da  je u 2021. godini  uknjižen novo nabavljeni putnički brod Mali Brijun čij</w:t>
      </w:r>
      <w:r>
        <w:rPr>
          <w:rFonts w:ascii="TyponineSans Reg" w:hAnsi="TyponineSans Reg"/>
          <w:sz w:val="24"/>
          <w:szCs w:val="24"/>
        </w:rPr>
        <w:t>a</w:t>
      </w:r>
      <w:r w:rsidRPr="00F01334">
        <w:rPr>
          <w:rFonts w:ascii="TyponineSans Reg" w:hAnsi="TyponineSans Reg"/>
          <w:sz w:val="24"/>
          <w:szCs w:val="24"/>
        </w:rPr>
        <w:t xml:space="preserve"> je nabav</w:t>
      </w:r>
      <w:r>
        <w:rPr>
          <w:rFonts w:ascii="TyponineSans Reg" w:hAnsi="TyponineSans Reg"/>
          <w:sz w:val="24"/>
          <w:szCs w:val="24"/>
        </w:rPr>
        <w:t>n</w:t>
      </w:r>
      <w:r w:rsidRPr="00F01334">
        <w:rPr>
          <w:rFonts w:ascii="TyponineSans Reg" w:hAnsi="TyponineSans Reg"/>
          <w:sz w:val="24"/>
          <w:szCs w:val="24"/>
        </w:rPr>
        <w:t>a vrij</w:t>
      </w:r>
      <w:r>
        <w:rPr>
          <w:rFonts w:ascii="TyponineSans Reg" w:hAnsi="TyponineSans Reg"/>
          <w:sz w:val="24"/>
          <w:szCs w:val="24"/>
        </w:rPr>
        <w:t>e</w:t>
      </w:r>
      <w:r w:rsidRPr="00F01334">
        <w:rPr>
          <w:rFonts w:ascii="TyponineSans Reg" w:hAnsi="TyponineSans Reg"/>
          <w:sz w:val="24"/>
          <w:szCs w:val="24"/>
        </w:rPr>
        <w:t xml:space="preserve">dnost  85%  </w:t>
      </w:r>
      <w:bookmarkStart w:id="4" w:name="_Hlk94342989"/>
      <w:r w:rsidRPr="00F01334">
        <w:rPr>
          <w:rFonts w:ascii="TyponineSans Reg" w:hAnsi="TyponineSans Reg"/>
          <w:sz w:val="24"/>
          <w:szCs w:val="24"/>
        </w:rPr>
        <w:t>financirana iz sredstava EU vezano za provedbu projekta Konkurentnost i kohezija 2014 -2020.g.  te 15% od strane Fonda za zaštitu i energetku učinkovitost</w:t>
      </w:r>
      <w:bookmarkEnd w:id="4"/>
      <w:r w:rsidRPr="00F01334">
        <w:rPr>
          <w:rFonts w:ascii="TyponineSans Reg" w:hAnsi="TyponineSans Reg"/>
          <w:sz w:val="24"/>
          <w:szCs w:val="24"/>
        </w:rPr>
        <w:t xml:space="preserve">. </w:t>
      </w:r>
    </w:p>
    <w:p w14:paraId="5EEF188A" w14:textId="58C113D0" w:rsidR="0060512A" w:rsidRPr="00F01334" w:rsidRDefault="0060512A" w:rsidP="001B3DD7">
      <w:pPr>
        <w:jc w:val="both"/>
        <w:rPr>
          <w:rFonts w:ascii="TyponineSans Reg" w:hAnsi="TyponineSans Reg"/>
          <w:sz w:val="24"/>
          <w:szCs w:val="24"/>
        </w:rPr>
      </w:pPr>
      <w:r>
        <w:rPr>
          <w:rFonts w:ascii="TyponineSans Reg" w:hAnsi="TyponineSans Reg"/>
          <w:sz w:val="24"/>
          <w:szCs w:val="24"/>
        </w:rPr>
        <w:t>Na povećanje vrijednosti u okviru AOP-a utjecalo je u značajnoj mjeri i uknjiženje motorne brodice u ukupnoj vrijednosti od 1.762.500 kn za koju je Ministarstvo gospodarstva i održivog razvoja temeljem sklopljenog ugovora o prijenosu prava vlasništa isporučilo Ustanovi</w:t>
      </w:r>
      <w:r w:rsidR="00760FDE">
        <w:rPr>
          <w:rFonts w:ascii="TyponineSans Reg" w:hAnsi="TyponineSans Reg"/>
          <w:sz w:val="24"/>
          <w:szCs w:val="24"/>
        </w:rPr>
        <w:t xml:space="preserve"> sa svrhom da se koristi isključivo za nadzor i upravljanje područjima EM Natura 2000 u sklopu projekta o dodijeli bespovratnih sredstava.</w:t>
      </w:r>
    </w:p>
    <w:p w14:paraId="3B9ADC7C" w14:textId="77777777" w:rsidR="001B3DD7" w:rsidRPr="00F01334" w:rsidRDefault="001B3DD7" w:rsidP="001B3DD7">
      <w:pPr>
        <w:jc w:val="both"/>
        <w:rPr>
          <w:rFonts w:ascii="TyponineSans Reg" w:hAnsi="TyponineSans Reg"/>
          <w:sz w:val="24"/>
          <w:szCs w:val="24"/>
        </w:rPr>
      </w:pPr>
      <w:r w:rsidRPr="00F01334">
        <w:rPr>
          <w:rFonts w:ascii="TyponineSans Reg" w:hAnsi="TyponineSans Reg"/>
          <w:sz w:val="24"/>
          <w:szCs w:val="24"/>
        </w:rPr>
        <w:t>Povećanje sadašnje vrijednosti od 11,3% ostvareno je i u okviru AOP-a 025 – Prijevozna sredstva u cestovnom prometu, zbog nabavke većeg broja elektromobila</w:t>
      </w:r>
      <w:r>
        <w:rPr>
          <w:rFonts w:ascii="TyponineSans Reg" w:hAnsi="TyponineSans Reg"/>
          <w:sz w:val="24"/>
          <w:szCs w:val="24"/>
        </w:rPr>
        <w:t xml:space="preserve">. Nabavka elektromobila u iznosu od </w:t>
      </w:r>
      <w:r w:rsidRPr="00F01334">
        <w:rPr>
          <w:rFonts w:ascii="TyponineSans Reg" w:hAnsi="TyponineSans Reg"/>
          <w:sz w:val="24"/>
          <w:szCs w:val="24"/>
        </w:rPr>
        <w:t xml:space="preserve">80% ukupne </w:t>
      </w:r>
      <w:r>
        <w:rPr>
          <w:rFonts w:ascii="TyponineSans Reg" w:hAnsi="TyponineSans Reg"/>
          <w:sz w:val="24"/>
          <w:szCs w:val="24"/>
        </w:rPr>
        <w:t>nabavne vrijednosti</w:t>
      </w:r>
      <w:r w:rsidRPr="00F01334">
        <w:rPr>
          <w:rFonts w:ascii="TyponineSans Reg" w:hAnsi="TyponineSans Reg"/>
          <w:sz w:val="24"/>
          <w:szCs w:val="24"/>
        </w:rPr>
        <w:t xml:space="preserve"> biti </w:t>
      </w:r>
      <w:r>
        <w:rPr>
          <w:rFonts w:ascii="TyponineSans Reg" w:hAnsi="TyponineSans Reg"/>
          <w:sz w:val="24"/>
          <w:szCs w:val="24"/>
        </w:rPr>
        <w:t xml:space="preserve">će </w:t>
      </w:r>
      <w:r w:rsidRPr="00F01334">
        <w:rPr>
          <w:rFonts w:ascii="TyponineSans Reg" w:hAnsi="TyponineSans Reg"/>
          <w:sz w:val="24"/>
          <w:szCs w:val="24"/>
        </w:rPr>
        <w:t>sufinanciran</w:t>
      </w:r>
      <w:r>
        <w:rPr>
          <w:rFonts w:ascii="TyponineSans Reg" w:hAnsi="TyponineSans Reg"/>
          <w:sz w:val="24"/>
          <w:szCs w:val="24"/>
        </w:rPr>
        <w:t>a</w:t>
      </w:r>
      <w:r w:rsidRPr="00F01334">
        <w:rPr>
          <w:rFonts w:ascii="TyponineSans Reg" w:hAnsi="TyponineSans Reg"/>
          <w:sz w:val="24"/>
          <w:szCs w:val="24"/>
        </w:rPr>
        <w:t xml:space="preserve"> sredstvima Fonda za zaštitu okoliša. </w:t>
      </w:r>
    </w:p>
    <w:p w14:paraId="5096FCCD" w14:textId="4B6D153F" w:rsidR="009C280D" w:rsidRPr="009C280D" w:rsidRDefault="001B3DD7" w:rsidP="001B3DD7">
      <w:pPr>
        <w:jc w:val="both"/>
        <w:rPr>
          <w:sz w:val="24"/>
          <w:szCs w:val="24"/>
        </w:rPr>
      </w:pPr>
      <w:r w:rsidRPr="00F01334">
        <w:rPr>
          <w:rFonts w:ascii="TyponineSans Reg" w:hAnsi="TyponineSans Reg"/>
          <w:sz w:val="24"/>
          <w:szCs w:val="24"/>
        </w:rPr>
        <w:t xml:space="preserve">Značajan porast ostvaren je i u okviru AOP-a 008 – Građevinski objekti kao i AOP-a 014 – Postrojenja i oprema koji su također rezultat dodatnih ulaganja u obnovu građevinskih objekata na otoku Mali Brijun kao i nabavu namještaja i opreme za </w:t>
      </w:r>
      <w:r>
        <w:rPr>
          <w:rFonts w:ascii="TyponineSans Reg" w:hAnsi="TyponineSans Reg"/>
          <w:sz w:val="24"/>
          <w:szCs w:val="24"/>
        </w:rPr>
        <w:t>obnovljene objekte</w:t>
      </w:r>
      <w:r w:rsidRPr="00F01334">
        <w:rPr>
          <w:rFonts w:ascii="TyponineSans Reg" w:hAnsi="TyponineSans Reg"/>
          <w:sz w:val="24"/>
          <w:szCs w:val="24"/>
        </w:rPr>
        <w:t xml:space="preserve"> čija je nabava također financirana 85%  iz sredstava EU vezano za provedbu projekta Konkurentnosti i kohezija 2014. -2020. g. te 15% od strane Fonda za zaštitu i energetsku učinkovitost. U okviru istog projekta financirana je i nabava nematerijalne imovine odnosno znanstvene literature i audio vodića što je rezultiralo porastom od 43,2%</w:t>
      </w:r>
      <w:r w:rsidRPr="00F01334">
        <w:t xml:space="preserve">  </w:t>
      </w:r>
      <w:r w:rsidRPr="00F51DD2">
        <w:rPr>
          <w:sz w:val="24"/>
          <w:szCs w:val="24"/>
        </w:rPr>
        <w:t>na AOP-u 040 bilance Ustanove</w:t>
      </w:r>
      <w:r>
        <w:rPr>
          <w:sz w:val="24"/>
          <w:szCs w:val="24"/>
        </w:rPr>
        <w:t>.</w:t>
      </w:r>
    </w:p>
    <w:p w14:paraId="61F10AAA" w14:textId="77777777" w:rsidR="001B3DD7" w:rsidRPr="00F51DD2" w:rsidRDefault="001B3DD7" w:rsidP="001B3DD7">
      <w:pPr>
        <w:jc w:val="both"/>
        <w:rPr>
          <w:rFonts w:ascii="TyponineSans Reg" w:hAnsi="TyponineSans Reg"/>
          <w:color w:val="0070C0"/>
          <w:sz w:val="24"/>
          <w:szCs w:val="24"/>
        </w:rPr>
      </w:pPr>
    </w:p>
    <w:p w14:paraId="77330F4B" w14:textId="77777777" w:rsidR="001B3DD7" w:rsidRPr="00D645FB" w:rsidRDefault="001B3DD7" w:rsidP="001B3DD7">
      <w:pPr>
        <w:jc w:val="both"/>
        <w:rPr>
          <w:rFonts w:ascii="TyponineSans Reg" w:hAnsi="TyponineSans Reg"/>
          <w:sz w:val="24"/>
          <w:szCs w:val="24"/>
        </w:rPr>
      </w:pPr>
      <w:r w:rsidRPr="00D645FB">
        <w:rPr>
          <w:rFonts w:ascii="TyponineSans Reg" w:hAnsi="TyponineSans Reg"/>
          <w:sz w:val="24"/>
          <w:szCs w:val="24"/>
        </w:rPr>
        <w:t xml:space="preserve">Prikaz kretanja sredstava dugotrajne imovine Ustanove tijekom 2021. godine iskazan je po </w:t>
      </w:r>
      <w:r>
        <w:rPr>
          <w:rFonts w:ascii="TyponineSans Reg" w:hAnsi="TyponineSans Reg"/>
          <w:sz w:val="24"/>
          <w:szCs w:val="24"/>
        </w:rPr>
        <w:t xml:space="preserve">sljedećim </w:t>
      </w:r>
      <w:r w:rsidRPr="00D645FB">
        <w:rPr>
          <w:rFonts w:ascii="TyponineSans Reg" w:hAnsi="TyponineSans Reg"/>
          <w:sz w:val="24"/>
          <w:szCs w:val="24"/>
        </w:rPr>
        <w:t>kontima:</w:t>
      </w:r>
    </w:p>
    <w:p w14:paraId="06A83794" w14:textId="05D8173F" w:rsidR="001B3DD7" w:rsidRPr="00D645FB" w:rsidRDefault="0036091D" w:rsidP="001B3DD7">
      <w:pPr>
        <w:jc w:val="both"/>
        <w:rPr>
          <w:rFonts w:ascii="TyponineSans Reg" w:hAnsi="TyponineSans Reg"/>
          <w:b/>
          <w:color w:val="0070C0"/>
          <w:sz w:val="24"/>
          <w:szCs w:val="24"/>
        </w:rPr>
      </w:pPr>
      <w:r w:rsidRPr="0036091D">
        <w:lastRenderedPageBreak/>
        <w:drawing>
          <wp:inline distT="0" distB="0" distL="0" distR="0" wp14:anchorId="3C10FA72" wp14:editId="02BCDD76">
            <wp:extent cx="5760720" cy="8589645"/>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0720" cy="8589645"/>
                    </a:xfrm>
                    <a:prstGeom prst="rect">
                      <a:avLst/>
                    </a:prstGeom>
                    <a:noFill/>
                    <a:ln>
                      <a:noFill/>
                    </a:ln>
                  </pic:spPr>
                </pic:pic>
              </a:graphicData>
            </a:graphic>
          </wp:inline>
        </w:drawing>
      </w:r>
    </w:p>
    <w:p w14:paraId="6E9E1219" w14:textId="77777777" w:rsidR="0036091D" w:rsidRDefault="0036091D" w:rsidP="001B3DD7">
      <w:pPr>
        <w:jc w:val="both"/>
        <w:rPr>
          <w:rFonts w:ascii="TyponineSans Reg" w:hAnsi="TyponineSans Reg"/>
          <w:b/>
          <w:sz w:val="24"/>
          <w:szCs w:val="24"/>
        </w:rPr>
      </w:pPr>
    </w:p>
    <w:p w14:paraId="46C97C87" w14:textId="2288A13B" w:rsidR="001B3DD7" w:rsidRPr="00D645FB" w:rsidRDefault="001B3DD7" w:rsidP="001B3DD7">
      <w:pPr>
        <w:jc w:val="both"/>
        <w:rPr>
          <w:rFonts w:ascii="TyponineSans Reg" w:hAnsi="TyponineSans Reg"/>
          <w:b/>
          <w:sz w:val="24"/>
          <w:szCs w:val="24"/>
        </w:rPr>
      </w:pPr>
      <w:r w:rsidRPr="00D645FB">
        <w:rPr>
          <w:rFonts w:ascii="TyponineSans Reg" w:hAnsi="TyponineSans Reg"/>
          <w:b/>
          <w:sz w:val="24"/>
          <w:szCs w:val="24"/>
        </w:rPr>
        <w:lastRenderedPageBreak/>
        <w:t>AOP 058</w:t>
      </w:r>
    </w:p>
    <w:p w14:paraId="3ABB156B" w14:textId="77777777" w:rsidR="001B3DD7" w:rsidRPr="00D645FB" w:rsidRDefault="001B3DD7" w:rsidP="001B3DD7">
      <w:pPr>
        <w:jc w:val="both"/>
        <w:rPr>
          <w:rFonts w:ascii="TyponineSans Reg" w:hAnsi="TyponineSans Reg"/>
          <w:b/>
          <w:sz w:val="24"/>
          <w:szCs w:val="24"/>
        </w:rPr>
      </w:pPr>
      <w:r w:rsidRPr="00D645FB">
        <w:rPr>
          <w:rFonts w:ascii="TyponineSans Reg" w:hAnsi="TyponineSans Reg"/>
          <w:b/>
          <w:sz w:val="24"/>
          <w:szCs w:val="24"/>
        </w:rPr>
        <w:t>Proizvedena kratkotrajna imovina</w:t>
      </w:r>
    </w:p>
    <w:p w14:paraId="36318390" w14:textId="77777777" w:rsidR="001B3DD7" w:rsidRPr="00D645FB" w:rsidRDefault="001B3DD7" w:rsidP="001B3DD7">
      <w:pPr>
        <w:jc w:val="both"/>
        <w:rPr>
          <w:rFonts w:ascii="TyponineSans Reg" w:hAnsi="TyponineSans Reg"/>
          <w:sz w:val="24"/>
          <w:szCs w:val="24"/>
        </w:rPr>
      </w:pPr>
    </w:p>
    <w:p w14:paraId="2490EF0D" w14:textId="77777777" w:rsidR="001B3DD7" w:rsidRPr="00D01819" w:rsidRDefault="001B3DD7" w:rsidP="001B3DD7">
      <w:pPr>
        <w:jc w:val="both"/>
        <w:rPr>
          <w:rFonts w:ascii="TyponineSans Reg" w:hAnsi="TyponineSans Reg"/>
          <w:sz w:val="24"/>
          <w:szCs w:val="24"/>
        </w:rPr>
      </w:pPr>
      <w:r w:rsidRPr="00D01819">
        <w:rPr>
          <w:rFonts w:ascii="TyponineSans Reg" w:hAnsi="TyponineSans Reg"/>
          <w:sz w:val="24"/>
          <w:szCs w:val="24"/>
        </w:rPr>
        <w:t>Iako je Pravilnikom o proračunskom računovodstvu predviđeno da se kratkotrajna imovina priznaje kao rashod odmah u trenutku nabave, budući da se Ustanova bavi djelatnošću trgovine i pružanja ugostiteljskih usluga sveukupna kratkotrajna imovina se priznaje u rashode tek u trenutku prodaje odnosno trošenja.</w:t>
      </w:r>
    </w:p>
    <w:p w14:paraId="672F80FD" w14:textId="77777777" w:rsidR="001B3DD7" w:rsidRPr="00D01819" w:rsidRDefault="001B3DD7" w:rsidP="001B3DD7">
      <w:pPr>
        <w:jc w:val="both"/>
        <w:rPr>
          <w:rFonts w:ascii="TyponineSans Reg" w:hAnsi="TyponineSans Reg"/>
          <w:sz w:val="24"/>
          <w:szCs w:val="24"/>
        </w:rPr>
      </w:pPr>
    </w:p>
    <w:p w14:paraId="24745DC0" w14:textId="77777777" w:rsidR="001B3DD7" w:rsidRPr="00D01819" w:rsidRDefault="001B3DD7" w:rsidP="001B3DD7">
      <w:pPr>
        <w:jc w:val="both"/>
        <w:rPr>
          <w:rFonts w:ascii="TyponineSans Reg" w:hAnsi="TyponineSans Reg"/>
          <w:sz w:val="24"/>
          <w:szCs w:val="24"/>
        </w:rPr>
      </w:pPr>
      <w:r w:rsidRPr="00D01819">
        <w:rPr>
          <w:rFonts w:ascii="TyponineSans Reg" w:hAnsi="TyponineSans Reg"/>
          <w:sz w:val="24"/>
          <w:szCs w:val="24"/>
        </w:rPr>
        <w:t>Stanje proizvedene kratkotrajne imovine Ustanove na dan 31.12.2021. godine iznosilo je  791.300,60 kn, a iskazano je po pojedinačnim kontima u sljedećoj tablici:</w:t>
      </w:r>
    </w:p>
    <w:p w14:paraId="1F3D618C" w14:textId="77777777" w:rsidR="001B3DD7" w:rsidRPr="00486643" w:rsidRDefault="001B3DD7" w:rsidP="001B3DD7">
      <w:pPr>
        <w:jc w:val="both"/>
        <w:rPr>
          <w:rFonts w:ascii="TyponineSans Reg" w:hAnsi="TyponineSans Reg"/>
          <w:color w:val="0070C0"/>
          <w:sz w:val="24"/>
          <w:szCs w:val="24"/>
        </w:rPr>
      </w:pPr>
    </w:p>
    <w:p w14:paraId="10D406B0" w14:textId="77777777" w:rsidR="001B3DD7" w:rsidRPr="00486643" w:rsidRDefault="001B3DD7" w:rsidP="001B3DD7">
      <w:pPr>
        <w:jc w:val="both"/>
        <w:rPr>
          <w:rFonts w:ascii="TyponineSans Reg" w:hAnsi="TyponineSans Reg"/>
          <w:color w:val="0070C0"/>
          <w:sz w:val="24"/>
          <w:szCs w:val="24"/>
        </w:rPr>
      </w:pPr>
      <w:r w:rsidRPr="00D645FB">
        <w:drawing>
          <wp:inline distT="0" distB="0" distL="0" distR="0" wp14:anchorId="3F031C23" wp14:editId="755B41B4">
            <wp:extent cx="5191125" cy="3990975"/>
            <wp:effectExtent l="0" t="0" r="9525"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91125" cy="3990975"/>
                    </a:xfrm>
                    <a:prstGeom prst="rect">
                      <a:avLst/>
                    </a:prstGeom>
                    <a:noFill/>
                    <a:ln>
                      <a:noFill/>
                    </a:ln>
                  </pic:spPr>
                </pic:pic>
              </a:graphicData>
            </a:graphic>
          </wp:inline>
        </w:drawing>
      </w:r>
    </w:p>
    <w:p w14:paraId="311144B6" w14:textId="77777777" w:rsidR="001B3DD7" w:rsidRPr="00486643" w:rsidRDefault="001B3DD7" w:rsidP="001B3DD7">
      <w:pPr>
        <w:jc w:val="both"/>
        <w:rPr>
          <w:rFonts w:ascii="TyponineSans Reg" w:hAnsi="TyponineSans Reg"/>
          <w:color w:val="0070C0"/>
          <w:sz w:val="24"/>
          <w:szCs w:val="24"/>
        </w:rPr>
      </w:pPr>
    </w:p>
    <w:p w14:paraId="2B05EAD1" w14:textId="77777777" w:rsidR="001B3DD7" w:rsidRPr="00BE0BA3" w:rsidRDefault="001B3DD7" w:rsidP="001B3DD7">
      <w:pPr>
        <w:jc w:val="both"/>
        <w:rPr>
          <w:rFonts w:ascii="TyponineSans Reg" w:hAnsi="TyponineSans Reg"/>
          <w:bCs/>
          <w:sz w:val="24"/>
          <w:szCs w:val="24"/>
        </w:rPr>
      </w:pPr>
      <w:r w:rsidRPr="00BE0BA3">
        <w:rPr>
          <w:rFonts w:ascii="TyponineSans Reg" w:hAnsi="TyponineSans Reg"/>
          <w:bCs/>
          <w:sz w:val="24"/>
          <w:szCs w:val="24"/>
        </w:rPr>
        <w:t>Stanje zaliha materijala za obavljanje redovne djelatnosti veće je za 14,66% u odnosu na prethodnu godinu, a stanje zalihe robe za daljnju prodaju za 2,44% što je općenito rezultat</w:t>
      </w:r>
      <w:r>
        <w:rPr>
          <w:rFonts w:ascii="TyponineSans Reg" w:hAnsi="TyponineSans Reg"/>
          <w:bCs/>
          <w:sz w:val="24"/>
          <w:szCs w:val="24"/>
        </w:rPr>
        <w:t xml:space="preserve"> povećanog</w:t>
      </w:r>
      <w:r w:rsidRPr="00BE0BA3">
        <w:rPr>
          <w:rFonts w:ascii="TyponineSans Reg" w:hAnsi="TyponineSans Reg"/>
          <w:bCs/>
          <w:sz w:val="24"/>
          <w:szCs w:val="24"/>
        </w:rPr>
        <w:t xml:space="preserve">  opsega posla u tijeku 2021. godine u odnosu na prethodnu godinu kada su uslijed pandemije izazvane virusom Covid 19 u jednom dijelu godine bili zatvoreni ugostiteljski objekti.</w:t>
      </w:r>
    </w:p>
    <w:p w14:paraId="1D0E2B38" w14:textId="77777777" w:rsidR="001B3DD7" w:rsidRPr="00D01819" w:rsidRDefault="001B3DD7" w:rsidP="001B3DD7">
      <w:pPr>
        <w:jc w:val="both"/>
        <w:rPr>
          <w:rFonts w:ascii="TyponineSans Reg" w:hAnsi="TyponineSans Reg"/>
          <w:bCs/>
          <w:color w:val="0070C0"/>
          <w:sz w:val="24"/>
          <w:szCs w:val="24"/>
        </w:rPr>
      </w:pPr>
    </w:p>
    <w:p w14:paraId="439CCE46" w14:textId="77777777" w:rsidR="001B3DD7" w:rsidRPr="00BE0BA3" w:rsidRDefault="001B3DD7" w:rsidP="001B3DD7">
      <w:pPr>
        <w:jc w:val="both"/>
        <w:rPr>
          <w:rFonts w:ascii="TyponineSans Reg" w:hAnsi="TyponineSans Reg"/>
          <w:b/>
          <w:sz w:val="24"/>
          <w:szCs w:val="24"/>
        </w:rPr>
      </w:pPr>
      <w:r w:rsidRPr="00BE0BA3">
        <w:rPr>
          <w:rFonts w:ascii="TyponineSans Reg" w:hAnsi="TyponineSans Reg"/>
          <w:b/>
          <w:sz w:val="24"/>
          <w:szCs w:val="24"/>
        </w:rPr>
        <w:t>AOP 064</w:t>
      </w:r>
    </w:p>
    <w:p w14:paraId="71A21F7B" w14:textId="1E3DFF42" w:rsidR="001B3DD7" w:rsidRDefault="001B3DD7" w:rsidP="001B3DD7">
      <w:pPr>
        <w:jc w:val="both"/>
        <w:rPr>
          <w:rFonts w:ascii="TyponineSans Reg" w:hAnsi="TyponineSans Reg"/>
          <w:b/>
          <w:sz w:val="24"/>
          <w:szCs w:val="24"/>
        </w:rPr>
      </w:pPr>
      <w:r w:rsidRPr="00BE0BA3">
        <w:rPr>
          <w:rFonts w:ascii="TyponineSans Reg" w:hAnsi="TyponineSans Reg"/>
          <w:b/>
          <w:sz w:val="24"/>
          <w:szCs w:val="24"/>
        </w:rPr>
        <w:t>Novac u banci i blagajni</w:t>
      </w:r>
    </w:p>
    <w:p w14:paraId="4B764132" w14:textId="77777777" w:rsidR="004C7D36" w:rsidRPr="00BE0BA3" w:rsidRDefault="004C7D36" w:rsidP="001B3DD7">
      <w:pPr>
        <w:jc w:val="both"/>
        <w:rPr>
          <w:rFonts w:ascii="TyponineSans Reg" w:hAnsi="TyponineSans Reg"/>
          <w:b/>
          <w:sz w:val="24"/>
          <w:szCs w:val="24"/>
        </w:rPr>
      </w:pPr>
    </w:p>
    <w:p w14:paraId="739E9988" w14:textId="77777777" w:rsidR="001B3DD7" w:rsidRPr="00BE0BA3" w:rsidRDefault="001B3DD7" w:rsidP="001B3DD7">
      <w:pPr>
        <w:jc w:val="both"/>
        <w:rPr>
          <w:rFonts w:ascii="TyponineSans Reg" w:hAnsi="TyponineSans Reg"/>
          <w:sz w:val="24"/>
          <w:szCs w:val="24"/>
        </w:rPr>
      </w:pPr>
      <w:r w:rsidRPr="00BE0BA3">
        <w:rPr>
          <w:rFonts w:ascii="TyponineSans Reg" w:hAnsi="TyponineSans Reg"/>
          <w:sz w:val="24"/>
          <w:szCs w:val="24"/>
        </w:rPr>
        <w:t xml:space="preserve">U okviru AOP-a 064 iskazana je vrijednost sredstva na žiro-računu Ustanove u iznosu od 10.465.015 kn  što je znatan porast  od 14,15% u odnosu na prethodnu godinu koji je rezultat porasta prihoda od pružanja hotelijerskih usluga kao i prihoda od izletničke djelatnosti u odnosu na prethodnu godinu kada su bile </w:t>
      </w:r>
      <w:r>
        <w:rPr>
          <w:rFonts w:ascii="TyponineSans Reg" w:hAnsi="TyponineSans Reg"/>
          <w:sz w:val="24"/>
          <w:szCs w:val="24"/>
        </w:rPr>
        <w:t xml:space="preserve">izražene </w:t>
      </w:r>
      <w:r w:rsidRPr="00BE0BA3">
        <w:rPr>
          <w:rFonts w:ascii="TyponineSans Reg" w:hAnsi="TyponineSans Reg"/>
          <w:sz w:val="24"/>
          <w:szCs w:val="24"/>
        </w:rPr>
        <w:t xml:space="preserve">značanije posljedice </w:t>
      </w:r>
      <w:r>
        <w:rPr>
          <w:rFonts w:ascii="TyponineSans Reg" w:hAnsi="TyponineSans Reg"/>
          <w:sz w:val="24"/>
          <w:szCs w:val="24"/>
        </w:rPr>
        <w:t xml:space="preserve">utjecaja </w:t>
      </w:r>
      <w:r w:rsidRPr="00BE0BA3">
        <w:rPr>
          <w:rFonts w:ascii="TyponineSans Reg" w:hAnsi="TyponineSans Reg"/>
          <w:sz w:val="24"/>
          <w:szCs w:val="24"/>
        </w:rPr>
        <w:t xml:space="preserve">pandemije na ostvarenje poslovnih prihoda. </w:t>
      </w:r>
    </w:p>
    <w:p w14:paraId="2674ED52" w14:textId="77777777" w:rsidR="001B3DD7" w:rsidRPr="00BE0BA3" w:rsidRDefault="001B3DD7" w:rsidP="001B3DD7">
      <w:pPr>
        <w:jc w:val="both"/>
        <w:rPr>
          <w:rFonts w:ascii="TyponineSans Reg" w:hAnsi="TyponineSans Reg"/>
          <w:sz w:val="24"/>
          <w:szCs w:val="24"/>
        </w:rPr>
      </w:pPr>
    </w:p>
    <w:p w14:paraId="23F42640" w14:textId="77777777" w:rsidR="001B3DD7" w:rsidRPr="00692D9F" w:rsidRDefault="001B3DD7" w:rsidP="001B3DD7">
      <w:pPr>
        <w:jc w:val="both"/>
        <w:rPr>
          <w:rFonts w:ascii="TyponineSans Reg" w:hAnsi="TyponineSans Reg"/>
          <w:b/>
          <w:sz w:val="24"/>
          <w:szCs w:val="24"/>
        </w:rPr>
      </w:pPr>
      <w:r w:rsidRPr="00692D9F">
        <w:rPr>
          <w:rFonts w:ascii="TyponineSans Reg" w:hAnsi="TyponineSans Reg"/>
          <w:b/>
          <w:sz w:val="24"/>
          <w:szCs w:val="24"/>
        </w:rPr>
        <w:t>AOP 079</w:t>
      </w:r>
    </w:p>
    <w:p w14:paraId="686C2D2E" w14:textId="4B68DE01" w:rsidR="001B3DD7" w:rsidRDefault="001B3DD7" w:rsidP="001B3DD7">
      <w:pPr>
        <w:jc w:val="both"/>
        <w:rPr>
          <w:rFonts w:ascii="TyponineSans Reg" w:hAnsi="TyponineSans Reg"/>
          <w:b/>
          <w:sz w:val="24"/>
          <w:szCs w:val="24"/>
        </w:rPr>
      </w:pPr>
      <w:r w:rsidRPr="00692D9F">
        <w:rPr>
          <w:rFonts w:ascii="TyponineSans Reg" w:hAnsi="TyponineSans Reg"/>
          <w:b/>
          <w:sz w:val="24"/>
          <w:szCs w:val="24"/>
        </w:rPr>
        <w:t>Potraživanja za više plaćene poreze i doprinose</w:t>
      </w:r>
    </w:p>
    <w:p w14:paraId="11199A38" w14:textId="77777777" w:rsidR="004C7D36" w:rsidRPr="00692D9F" w:rsidRDefault="004C7D36" w:rsidP="001B3DD7">
      <w:pPr>
        <w:jc w:val="both"/>
        <w:rPr>
          <w:rFonts w:ascii="TyponineSans Reg" w:hAnsi="TyponineSans Reg"/>
          <w:b/>
          <w:sz w:val="24"/>
          <w:szCs w:val="24"/>
        </w:rPr>
      </w:pPr>
    </w:p>
    <w:p w14:paraId="190E25F0" w14:textId="77777777" w:rsidR="001B3DD7" w:rsidRPr="00E377BB" w:rsidRDefault="001B3DD7" w:rsidP="001B3DD7">
      <w:pPr>
        <w:jc w:val="both"/>
        <w:rPr>
          <w:rFonts w:ascii="TyponineSans Reg" w:hAnsi="TyponineSans Reg"/>
          <w:szCs w:val="22"/>
        </w:rPr>
      </w:pPr>
      <w:r w:rsidRPr="00E377BB">
        <w:rPr>
          <w:rFonts w:ascii="TyponineSans Reg" w:hAnsi="TyponineSans Reg"/>
          <w:szCs w:val="22"/>
        </w:rPr>
        <w:t>U okviru AOP-a 079 iskazano je potraživanje  za obračunati pretporez koji je u tekućoj godini iznosio 1.949.946 kn dok je u prethodnoj godini iznosio 1.065.363 kn. Porast potraživanja za PDV u odnosu na prethodnu godinu rezultat je značajnih ulaganja u nabavku dugotrajne imovine prije svega nabavku većeg broja elektromobila, primitka računa za zadnje faze izgradnje putničkog broda „Mali Brijun“, nabavku opreme za uređenje obnovljenih objekata na Malom Brijunu i ostale opreme.</w:t>
      </w:r>
    </w:p>
    <w:p w14:paraId="4ED23510" w14:textId="77777777" w:rsidR="001B3DD7" w:rsidRPr="00E377BB" w:rsidRDefault="001B3DD7" w:rsidP="001B3DD7">
      <w:pPr>
        <w:jc w:val="both"/>
        <w:rPr>
          <w:rFonts w:ascii="TyponineSans Reg" w:hAnsi="TyponineSans Reg"/>
          <w:b/>
          <w:szCs w:val="22"/>
        </w:rPr>
      </w:pPr>
    </w:p>
    <w:p w14:paraId="544D0049" w14:textId="77777777" w:rsidR="001B3DD7" w:rsidRPr="008478ED" w:rsidRDefault="001B3DD7" w:rsidP="001B3DD7">
      <w:pPr>
        <w:jc w:val="both"/>
        <w:rPr>
          <w:rFonts w:ascii="TyponineSans Reg" w:hAnsi="TyponineSans Reg"/>
          <w:b/>
          <w:sz w:val="24"/>
          <w:szCs w:val="24"/>
        </w:rPr>
      </w:pPr>
      <w:r w:rsidRPr="008478ED">
        <w:rPr>
          <w:rFonts w:ascii="TyponineSans Reg" w:hAnsi="TyponineSans Reg"/>
          <w:b/>
          <w:sz w:val="24"/>
          <w:szCs w:val="24"/>
        </w:rPr>
        <w:t>AOP 141</w:t>
      </w:r>
    </w:p>
    <w:p w14:paraId="2910CAA9" w14:textId="77777777" w:rsidR="001B3DD7" w:rsidRPr="008478ED" w:rsidRDefault="001B3DD7" w:rsidP="001B3DD7">
      <w:pPr>
        <w:jc w:val="both"/>
        <w:rPr>
          <w:rFonts w:ascii="TyponineSans Reg" w:hAnsi="TyponineSans Reg"/>
          <w:b/>
          <w:sz w:val="24"/>
          <w:szCs w:val="24"/>
        </w:rPr>
      </w:pPr>
      <w:r w:rsidRPr="008478ED">
        <w:rPr>
          <w:rFonts w:ascii="TyponineSans Reg" w:hAnsi="TyponineSans Reg"/>
          <w:b/>
          <w:sz w:val="24"/>
          <w:szCs w:val="24"/>
        </w:rPr>
        <w:t>Potraživanja za prihode poslovanja</w:t>
      </w:r>
    </w:p>
    <w:p w14:paraId="043B7C95" w14:textId="77777777" w:rsidR="001B3DD7" w:rsidRPr="008478ED" w:rsidRDefault="001B3DD7" w:rsidP="001B3DD7">
      <w:pPr>
        <w:jc w:val="both"/>
        <w:rPr>
          <w:rFonts w:ascii="TyponineSans Reg" w:hAnsi="TyponineSans Reg"/>
          <w:b/>
          <w:sz w:val="24"/>
          <w:szCs w:val="24"/>
        </w:rPr>
      </w:pPr>
    </w:p>
    <w:p w14:paraId="792702AB" w14:textId="77777777" w:rsidR="001B3DD7" w:rsidRPr="00E377BB" w:rsidRDefault="001B3DD7" w:rsidP="001B3DD7">
      <w:pPr>
        <w:jc w:val="both"/>
        <w:rPr>
          <w:rFonts w:ascii="TyponineSans Reg" w:hAnsi="TyponineSans Reg"/>
          <w:szCs w:val="22"/>
        </w:rPr>
      </w:pPr>
      <w:r w:rsidRPr="00E377BB">
        <w:rPr>
          <w:rFonts w:ascii="TyponineSans Reg" w:hAnsi="TyponineSans Reg"/>
          <w:szCs w:val="22"/>
        </w:rPr>
        <w:t>Potraživanja za prihode poslovanja na dan 31.12.2021. godine iznose ukupno 1.327.874 kn, a odnose se na:</w:t>
      </w:r>
    </w:p>
    <w:p w14:paraId="689E5035" w14:textId="77777777" w:rsidR="001B3DD7" w:rsidRPr="00E377BB" w:rsidRDefault="001B3DD7" w:rsidP="001B3DD7">
      <w:pPr>
        <w:numPr>
          <w:ilvl w:val="0"/>
          <w:numId w:val="20"/>
        </w:numPr>
        <w:jc w:val="both"/>
        <w:rPr>
          <w:rFonts w:ascii="TyponineSans Reg" w:hAnsi="TyponineSans Reg"/>
          <w:szCs w:val="22"/>
        </w:rPr>
      </w:pPr>
      <w:r w:rsidRPr="00E377BB">
        <w:rPr>
          <w:rFonts w:ascii="TyponineSans Reg" w:hAnsi="TyponineSans Reg"/>
          <w:szCs w:val="22"/>
        </w:rPr>
        <w:t>potraživanja za prihode od imovine u iznosu od 101.427 kn</w:t>
      </w:r>
    </w:p>
    <w:p w14:paraId="1C77E549" w14:textId="77777777" w:rsidR="001B3DD7" w:rsidRPr="00E377BB" w:rsidRDefault="001B3DD7" w:rsidP="001B3DD7">
      <w:pPr>
        <w:numPr>
          <w:ilvl w:val="0"/>
          <w:numId w:val="19"/>
        </w:numPr>
        <w:jc w:val="both"/>
        <w:rPr>
          <w:rFonts w:ascii="TyponineSans Reg" w:hAnsi="TyponineSans Reg"/>
          <w:szCs w:val="22"/>
        </w:rPr>
      </w:pPr>
      <w:r w:rsidRPr="00E377BB">
        <w:rPr>
          <w:rFonts w:ascii="TyponineSans Reg" w:hAnsi="TyponineSans Reg"/>
          <w:szCs w:val="22"/>
        </w:rPr>
        <w:t>potraživanja za prihode od prodaje proizvoda i roba te pruženih usluga u iznosu od 1.471.729 kn.</w:t>
      </w:r>
    </w:p>
    <w:p w14:paraId="3EA3E7CD" w14:textId="77777777" w:rsidR="001B3DD7" w:rsidRPr="00E377BB" w:rsidRDefault="001B3DD7" w:rsidP="001B3DD7">
      <w:pPr>
        <w:numPr>
          <w:ilvl w:val="0"/>
          <w:numId w:val="19"/>
        </w:numPr>
        <w:jc w:val="both"/>
        <w:rPr>
          <w:rFonts w:ascii="TyponineSans Reg" w:hAnsi="TyponineSans Reg"/>
          <w:szCs w:val="22"/>
        </w:rPr>
      </w:pPr>
      <w:r w:rsidRPr="00E377BB">
        <w:rPr>
          <w:rFonts w:ascii="TyponineSans Reg" w:hAnsi="TyponineSans Reg"/>
          <w:szCs w:val="22"/>
        </w:rPr>
        <w:t>Potraživanja za ostale prihode  od 79.261 kn</w:t>
      </w:r>
    </w:p>
    <w:p w14:paraId="31008BD9" w14:textId="77777777" w:rsidR="001B3DD7" w:rsidRPr="00E377BB" w:rsidRDefault="001B3DD7" w:rsidP="001B3DD7">
      <w:pPr>
        <w:numPr>
          <w:ilvl w:val="0"/>
          <w:numId w:val="19"/>
        </w:numPr>
        <w:jc w:val="both"/>
        <w:rPr>
          <w:rFonts w:ascii="TyponineSans Reg" w:hAnsi="TyponineSans Reg"/>
          <w:szCs w:val="22"/>
        </w:rPr>
      </w:pPr>
      <w:r w:rsidRPr="00E377BB">
        <w:rPr>
          <w:rFonts w:ascii="TyponineSans Reg" w:hAnsi="TyponineSans Reg"/>
          <w:szCs w:val="22"/>
        </w:rPr>
        <w:t>te proveden ispravak vrijednosti potraživanja u iznosu od 324.543 kn</w:t>
      </w:r>
    </w:p>
    <w:p w14:paraId="7D01DEA4" w14:textId="77777777" w:rsidR="001B3DD7" w:rsidRPr="00E377BB" w:rsidRDefault="001B3DD7" w:rsidP="001B3DD7">
      <w:pPr>
        <w:ind w:left="770"/>
        <w:jc w:val="both"/>
        <w:rPr>
          <w:rFonts w:ascii="TyponineSans Reg" w:hAnsi="TyponineSans Reg"/>
          <w:color w:val="0070C0"/>
          <w:szCs w:val="22"/>
        </w:rPr>
      </w:pPr>
    </w:p>
    <w:p w14:paraId="4BC73F79" w14:textId="77777777" w:rsidR="001B3DD7" w:rsidRPr="00E377BB" w:rsidRDefault="001B3DD7" w:rsidP="001B3DD7">
      <w:pPr>
        <w:jc w:val="both"/>
        <w:rPr>
          <w:rFonts w:ascii="TyponineSans Reg" w:hAnsi="TyponineSans Reg"/>
          <w:szCs w:val="22"/>
        </w:rPr>
      </w:pPr>
      <w:r w:rsidRPr="00E377BB">
        <w:rPr>
          <w:rFonts w:ascii="TyponineSans Reg" w:hAnsi="TyponineSans Reg"/>
          <w:szCs w:val="22"/>
        </w:rPr>
        <w:t>Budući da je Ustanova do dana 31.12.2012. godine vodila knjige sukladno Pravilniku o računovodstvu neprofitnih organizacija ukupna potraživanja za prihode poslovanja iskazana na dan 31.12.2020. godine dijele se na dio potraživanja obračunatih do 31.12.2012. godina, i na preostali dio potraživanja nastalih nakon 01.01.2013.g. odnosno od dana prelaska na vođenje knjigovodstva prema Pravilniku o proračunskom računovodstvu.</w:t>
      </w:r>
    </w:p>
    <w:p w14:paraId="35DAF593" w14:textId="77777777" w:rsidR="001B3DD7" w:rsidRPr="00E377BB" w:rsidRDefault="001B3DD7" w:rsidP="001B3DD7">
      <w:pPr>
        <w:jc w:val="both"/>
        <w:rPr>
          <w:rFonts w:ascii="TyponineSans Reg" w:hAnsi="TyponineSans Reg"/>
          <w:szCs w:val="22"/>
        </w:rPr>
      </w:pPr>
    </w:p>
    <w:p w14:paraId="2C0BE278" w14:textId="77777777" w:rsidR="001B3DD7" w:rsidRPr="00E377BB" w:rsidRDefault="001B3DD7" w:rsidP="001B3DD7">
      <w:pPr>
        <w:jc w:val="both"/>
        <w:rPr>
          <w:rFonts w:ascii="TyponineSans Reg" w:hAnsi="TyponineSans Reg"/>
          <w:szCs w:val="22"/>
        </w:rPr>
      </w:pPr>
      <w:r w:rsidRPr="00E377BB">
        <w:rPr>
          <w:rFonts w:ascii="TyponineSans Reg" w:hAnsi="TyponineSans Reg"/>
          <w:szCs w:val="22"/>
        </w:rPr>
        <w:t xml:space="preserve">Sukladno Pravilniku o proračunskom računovodstvu prihodi za potraživanja nastali nakon 01.01.2013. godine knjiženi su na pripadajućim kontima razreda 9 i tek po naplati odnosno priljevu na žiro-račun iskazan je prihod na kontima razreda 6. </w:t>
      </w:r>
    </w:p>
    <w:p w14:paraId="5EFBD5CE" w14:textId="77777777" w:rsidR="001B3DD7" w:rsidRPr="00E377BB" w:rsidRDefault="001B3DD7" w:rsidP="001B3DD7">
      <w:pPr>
        <w:jc w:val="both"/>
        <w:rPr>
          <w:rFonts w:ascii="TyponineSans Reg" w:hAnsi="TyponineSans Reg"/>
          <w:szCs w:val="22"/>
        </w:rPr>
      </w:pPr>
    </w:p>
    <w:p w14:paraId="7E463339" w14:textId="77777777" w:rsidR="001B3DD7" w:rsidRPr="00E377BB" w:rsidRDefault="001B3DD7" w:rsidP="001B3DD7">
      <w:pPr>
        <w:jc w:val="both"/>
        <w:rPr>
          <w:rFonts w:ascii="TyponineSans Reg" w:hAnsi="TyponineSans Reg"/>
          <w:szCs w:val="22"/>
        </w:rPr>
      </w:pPr>
      <w:r w:rsidRPr="00E377BB">
        <w:rPr>
          <w:rFonts w:ascii="TyponineSans Reg" w:hAnsi="TyponineSans Reg"/>
          <w:szCs w:val="22"/>
        </w:rPr>
        <w:t>Međutim, kako su, sukladno  Pravilniku neprofitnog računovodstva, potraživanja iz ranijih godina, već oprihodovana u godini nastanka ova potraživanja iskazna su samo na kontima razreda 16 bez prikazivanja obračunskih prihoda u razredu 9. Iz navedenog razloga iskazana potraživanja u okviru razreda 16 veća su od iskazanih obračunatih prihoda na kontima razreda 96 – obračunati prihodi poslovanja.</w:t>
      </w:r>
    </w:p>
    <w:p w14:paraId="6628076B" w14:textId="77777777" w:rsidR="001B3DD7" w:rsidRPr="00E377BB" w:rsidRDefault="001B3DD7" w:rsidP="001B3DD7">
      <w:pPr>
        <w:jc w:val="both"/>
        <w:rPr>
          <w:rFonts w:ascii="TyponineSans Reg" w:hAnsi="TyponineSans Reg"/>
          <w:szCs w:val="22"/>
        </w:rPr>
      </w:pPr>
    </w:p>
    <w:p w14:paraId="28B17B80" w14:textId="77777777" w:rsidR="001B3DD7" w:rsidRPr="00E377BB" w:rsidRDefault="001B3DD7" w:rsidP="001B3DD7">
      <w:pPr>
        <w:jc w:val="both"/>
        <w:rPr>
          <w:rFonts w:ascii="TyponineSans Reg" w:hAnsi="TyponineSans Reg"/>
          <w:szCs w:val="22"/>
        </w:rPr>
      </w:pPr>
      <w:r w:rsidRPr="00E377BB">
        <w:rPr>
          <w:rFonts w:ascii="TyponineSans Reg" w:hAnsi="TyponineSans Reg"/>
          <w:szCs w:val="22"/>
        </w:rPr>
        <w:t xml:space="preserve">Osim toga, budući da je Ustanova u sustavu PDV-a iznosi potraživanja u okviru razreda 16 uvećani su za iznos PDV-a u odnosu na obračunske prihode iskazane u razredu 96. </w:t>
      </w:r>
    </w:p>
    <w:p w14:paraId="3BDB98FE" w14:textId="29D4ECCD" w:rsidR="001B3DD7" w:rsidRDefault="001B3DD7" w:rsidP="001B3DD7">
      <w:pPr>
        <w:jc w:val="both"/>
        <w:rPr>
          <w:rFonts w:ascii="TyponineSans Reg" w:hAnsi="TyponineSans Reg"/>
          <w:color w:val="0070C0"/>
          <w:szCs w:val="22"/>
        </w:rPr>
      </w:pPr>
    </w:p>
    <w:p w14:paraId="688D3702" w14:textId="0C842CF5" w:rsidR="002B2842" w:rsidRDefault="002B2842" w:rsidP="001B3DD7">
      <w:pPr>
        <w:jc w:val="both"/>
        <w:rPr>
          <w:rFonts w:ascii="TyponineSans Reg" w:hAnsi="TyponineSans Reg"/>
          <w:color w:val="0070C0"/>
          <w:szCs w:val="22"/>
        </w:rPr>
      </w:pPr>
    </w:p>
    <w:p w14:paraId="45BD75B1" w14:textId="1058D41B" w:rsidR="002B2842" w:rsidRDefault="002B2842" w:rsidP="001B3DD7">
      <w:pPr>
        <w:jc w:val="both"/>
        <w:rPr>
          <w:rFonts w:ascii="TyponineSans Reg" w:hAnsi="TyponineSans Reg"/>
          <w:color w:val="0070C0"/>
          <w:szCs w:val="22"/>
        </w:rPr>
      </w:pPr>
    </w:p>
    <w:p w14:paraId="3ACDCA41" w14:textId="03D4ED2B" w:rsidR="002B2842" w:rsidRDefault="002B2842" w:rsidP="001B3DD7">
      <w:pPr>
        <w:jc w:val="both"/>
        <w:rPr>
          <w:rFonts w:ascii="TyponineSans Reg" w:hAnsi="TyponineSans Reg"/>
          <w:color w:val="0070C0"/>
          <w:szCs w:val="22"/>
        </w:rPr>
      </w:pPr>
    </w:p>
    <w:p w14:paraId="1A9B3E06" w14:textId="50A736E2" w:rsidR="002B2842" w:rsidRDefault="002B2842" w:rsidP="001B3DD7">
      <w:pPr>
        <w:jc w:val="both"/>
        <w:rPr>
          <w:rFonts w:ascii="TyponineSans Reg" w:hAnsi="TyponineSans Reg"/>
          <w:color w:val="0070C0"/>
          <w:szCs w:val="22"/>
        </w:rPr>
      </w:pPr>
    </w:p>
    <w:p w14:paraId="39F1599D" w14:textId="7B07A9E2" w:rsidR="002B2842" w:rsidRDefault="002B2842" w:rsidP="001B3DD7">
      <w:pPr>
        <w:jc w:val="both"/>
        <w:rPr>
          <w:rFonts w:ascii="TyponineSans Reg" w:hAnsi="TyponineSans Reg"/>
          <w:color w:val="0070C0"/>
          <w:szCs w:val="22"/>
        </w:rPr>
      </w:pPr>
    </w:p>
    <w:p w14:paraId="700D38BD" w14:textId="46468B64" w:rsidR="002B2842" w:rsidRDefault="002B2842" w:rsidP="001B3DD7">
      <w:pPr>
        <w:jc w:val="both"/>
        <w:rPr>
          <w:rFonts w:ascii="TyponineSans Reg" w:hAnsi="TyponineSans Reg"/>
          <w:color w:val="0070C0"/>
          <w:szCs w:val="22"/>
        </w:rPr>
      </w:pPr>
    </w:p>
    <w:p w14:paraId="1B5E685A" w14:textId="0FD60330" w:rsidR="002B2842" w:rsidRDefault="002B2842" w:rsidP="001B3DD7">
      <w:pPr>
        <w:jc w:val="both"/>
        <w:rPr>
          <w:rFonts w:ascii="TyponineSans Reg" w:hAnsi="TyponineSans Reg"/>
          <w:color w:val="0070C0"/>
          <w:szCs w:val="22"/>
        </w:rPr>
      </w:pPr>
    </w:p>
    <w:p w14:paraId="20450EA6" w14:textId="144FB15A" w:rsidR="002B2842" w:rsidRDefault="002B2842" w:rsidP="001B3DD7">
      <w:pPr>
        <w:jc w:val="both"/>
        <w:rPr>
          <w:rFonts w:ascii="TyponineSans Reg" w:hAnsi="TyponineSans Reg"/>
          <w:color w:val="0070C0"/>
          <w:szCs w:val="22"/>
        </w:rPr>
      </w:pPr>
    </w:p>
    <w:p w14:paraId="50538244" w14:textId="2EB949DD" w:rsidR="002B2842" w:rsidRDefault="002B2842" w:rsidP="001B3DD7">
      <w:pPr>
        <w:jc w:val="both"/>
        <w:rPr>
          <w:rFonts w:ascii="TyponineSans Reg" w:hAnsi="TyponineSans Reg"/>
          <w:color w:val="0070C0"/>
          <w:szCs w:val="22"/>
        </w:rPr>
      </w:pPr>
    </w:p>
    <w:p w14:paraId="155370FD" w14:textId="3D225B40" w:rsidR="002B2842" w:rsidRDefault="002B2842" w:rsidP="001B3DD7">
      <w:pPr>
        <w:jc w:val="both"/>
        <w:rPr>
          <w:rFonts w:ascii="TyponineSans Reg" w:hAnsi="TyponineSans Reg"/>
          <w:color w:val="0070C0"/>
          <w:szCs w:val="22"/>
        </w:rPr>
      </w:pPr>
    </w:p>
    <w:p w14:paraId="6A1368B6" w14:textId="77777777" w:rsidR="002B2842" w:rsidRPr="00E377BB" w:rsidRDefault="002B2842" w:rsidP="001B3DD7">
      <w:pPr>
        <w:jc w:val="both"/>
        <w:rPr>
          <w:rFonts w:ascii="TyponineSans Reg" w:hAnsi="TyponineSans Reg"/>
          <w:color w:val="0070C0"/>
          <w:szCs w:val="22"/>
        </w:rPr>
      </w:pPr>
    </w:p>
    <w:p w14:paraId="72892AA7" w14:textId="77777777" w:rsidR="001B3DD7" w:rsidRPr="00E377BB" w:rsidRDefault="001B3DD7" w:rsidP="001B3DD7">
      <w:pPr>
        <w:jc w:val="both"/>
        <w:rPr>
          <w:rFonts w:ascii="TyponineSans Reg" w:hAnsi="TyponineSans Reg"/>
          <w:color w:val="0070C0"/>
          <w:szCs w:val="22"/>
        </w:rPr>
      </w:pPr>
    </w:p>
    <w:p w14:paraId="597913AA" w14:textId="77777777" w:rsidR="00A1592A" w:rsidRDefault="00A1592A" w:rsidP="001B3DD7">
      <w:pPr>
        <w:jc w:val="both"/>
        <w:rPr>
          <w:rFonts w:ascii="TyponineSans Reg" w:hAnsi="TyponineSans Reg"/>
          <w:szCs w:val="22"/>
        </w:rPr>
      </w:pPr>
    </w:p>
    <w:p w14:paraId="13363578" w14:textId="76208AC8" w:rsidR="001B3DD7" w:rsidRPr="00E377BB" w:rsidRDefault="001B3DD7" w:rsidP="001B3DD7">
      <w:pPr>
        <w:jc w:val="both"/>
        <w:rPr>
          <w:rFonts w:ascii="TyponineSans Reg" w:hAnsi="TyponineSans Reg"/>
          <w:b/>
          <w:szCs w:val="22"/>
        </w:rPr>
      </w:pPr>
      <w:r w:rsidRPr="00E377BB">
        <w:rPr>
          <w:rFonts w:ascii="TyponineSans Reg" w:hAnsi="TyponineSans Reg"/>
          <w:szCs w:val="22"/>
        </w:rPr>
        <w:t>Pregled potraživanja na kontima razreda 16 iskazan je u sljedećoj tablici:</w:t>
      </w:r>
      <w:r w:rsidRPr="00E377BB">
        <w:rPr>
          <w:rFonts w:ascii="TyponineSans Reg" w:hAnsi="TyponineSans Reg"/>
          <w:b/>
          <w:szCs w:val="22"/>
        </w:rPr>
        <w:t xml:space="preserve"> </w:t>
      </w:r>
    </w:p>
    <w:p w14:paraId="21ADE62E" w14:textId="77777777" w:rsidR="001B3DD7" w:rsidRPr="00E377BB" w:rsidRDefault="001B3DD7" w:rsidP="001B3DD7">
      <w:pPr>
        <w:jc w:val="both"/>
        <w:rPr>
          <w:rFonts w:ascii="TyponineSans Reg" w:hAnsi="TyponineSans Reg"/>
          <w:b/>
          <w:color w:val="0070C0"/>
          <w:szCs w:val="22"/>
        </w:rPr>
      </w:pPr>
    </w:p>
    <w:p w14:paraId="27644549" w14:textId="77777777" w:rsidR="001B3DD7" w:rsidRPr="00486643" w:rsidRDefault="001B3DD7" w:rsidP="001B3DD7">
      <w:pPr>
        <w:jc w:val="both"/>
        <w:rPr>
          <w:rFonts w:ascii="TyponineSans Reg" w:hAnsi="TyponineSans Reg"/>
          <w:b/>
          <w:color w:val="0070C0"/>
          <w:sz w:val="24"/>
          <w:szCs w:val="24"/>
        </w:rPr>
      </w:pPr>
      <w:r w:rsidRPr="00CF4CCE">
        <w:drawing>
          <wp:inline distT="0" distB="0" distL="0" distR="0" wp14:anchorId="48F4922C" wp14:editId="25A39678">
            <wp:extent cx="5048250" cy="3757454"/>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61668" cy="3767441"/>
                    </a:xfrm>
                    <a:prstGeom prst="rect">
                      <a:avLst/>
                    </a:prstGeom>
                    <a:noFill/>
                    <a:ln>
                      <a:noFill/>
                    </a:ln>
                  </pic:spPr>
                </pic:pic>
              </a:graphicData>
            </a:graphic>
          </wp:inline>
        </w:drawing>
      </w:r>
    </w:p>
    <w:p w14:paraId="4CC2BB70" w14:textId="77777777" w:rsidR="001B3DD7" w:rsidRPr="00486643" w:rsidRDefault="001B3DD7" w:rsidP="001B3DD7">
      <w:pPr>
        <w:jc w:val="both"/>
        <w:rPr>
          <w:rFonts w:ascii="TyponineSans Reg" w:hAnsi="TyponineSans Reg"/>
          <w:b/>
          <w:color w:val="0070C0"/>
          <w:sz w:val="24"/>
          <w:szCs w:val="24"/>
        </w:rPr>
      </w:pPr>
    </w:p>
    <w:p w14:paraId="659DA12F" w14:textId="1710E686" w:rsidR="001B3DD7" w:rsidRDefault="001B3DD7" w:rsidP="001B3DD7">
      <w:pPr>
        <w:jc w:val="both"/>
        <w:rPr>
          <w:rFonts w:ascii="TyponineSans Reg" w:hAnsi="TyponineSans Reg"/>
          <w:b/>
          <w:color w:val="0070C0"/>
          <w:sz w:val="24"/>
          <w:szCs w:val="24"/>
        </w:rPr>
      </w:pPr>
    </w:p>
    <w:p w14:paraId="7E685DA5" w14:textId="77777777" w:rsidR="006170D2" w:rsidRPr="00486643" w:rsidRDefault="006170D2" w:rsidP="001B3DD7">
      <w:pPr>
        <w:jc w:val="both"/>
        <w:rPr>
          <w:rFonts w:ascii="TyponineSans Reg" w:hAnsi="TyponineSans Reg"/>
          <w:b/>
          <w:color w:val="0070C0"/>
          <w:sz w:val="24"/>
          <w:szCs w:val="24"/>
        </w:rPr>
      </w:pPr>
    </w:p>
    <w:p w14:paraId="6B3D7EAF" w14:textId="77777777" w:rsidR="001B3DD7" w:rsidRPr="00C873C2" w:rsidRDefault="001B3DD7" w:rsidP="001B3DD7">
      <w:pPr>
        <w:jc w:val="both"/>
        <w:rPr>
          <w:rFonts w:ascii="TyponineSans Reg" w:hAnsi="TyponineSans Reg"/>
          <w:b/>
          <w:sz w:val="24"/>
          <w:szCs w:val="24"/>
        </w:rPr>
      </w:pPr>
      <w:r w:rsidRPr="00C873C2">
        <w:rPr>
          <w:rFonts w:ascii="TyponineSans Reg" w:hAnsi="TyponineSans Reg"/>
          <w:b/>
          <w:sz w:val="24"/>
          <w:szCs w:val="24"/>
        </w:rPr>
        <w:t>AOP 159</w:t>
      </w:r>
    </w:p>
    <w:p w14:paraId="3131EE05" w14:textId="77777777" w:rsidR="001B3DD7" w:rsidRPr="00C873C2" w:rsidRDefault="001B3DD7" w:rsidP="001B3DD7">
      <w:pPr>
        <w:jc w:val="both"/>
        <w:rPr>
          <w:rFonts w:ascii="TyponineSans Reg" w:hAnsi="TyponineSans Reg"/>
          <w:b/>
          <w:sz w:val="24"/>
          <w:szCs w:val="24"/>
        </w:rPr>
      </w:pPr>
      <w:r w:rsidRPr="00C873C2">
        <w:rPr>
          <w:rFonts w:ascii="TyponineSans Reg" w:hAnsi="TyponineSans Reg"/>
          <w:b/>
          <w:sz w:val="24"/>
          <w:szCs w:val="24"/>
        </w:rPr>
        <w:t>Potraživanja od prodaje nefinancijske imovine</w:t>
      </w:r>
    </w:p>
    <w:p w14:paraId="638505C3" w14:textId="77777777" w:rsidR="001B3DD7" w:rsidRPr="00C873C2" w:rsidRDefault="001B3DD7" w:rsidP="001B3DD7">
      <w:pPr>
        <w:jc w:val="both"/>
        <w:rPr>
          <w:rFonts w:ascii="TyponineSans Reg" w:hAnsi="TyponineSans Reg"/>
          <w:sz w:val="24"/>
          <w:szCs w:val="24"/>
        </w:rPr>
      </w:pPr>
    </w:p>
    <w:p w14:paraId="013B02C7" w14:textId="77777777" w:rsidR="001B3DD7" w:rsidRPr="00E377BB" w:rsidRDefault="001B3DD7" w:rsidP="001B3DD7">
      <w:pPr>
        <w:jc w:val="both"/>
        <w:rPr>
          <w:rFonts w:ascii="TyponineSans Reg" w:hAnsi="TyponineSans Reg"/>
          <w:szCs w:val="22"/>
        </w:rPr>
      </w:pPr>
      <w:r w:rsidRPr="00E377BB">
        <w:rPr>
          <w:rFonts w:ascii="TyponineSans Reg" w:hAnsi="TyponineSans Reg"/>
          <w:szCs w:val="22"/>
        </w:rPr>
        <w:t>Cijela problematika prethodno navedena vezano za knjiženje potraživanja iz poslovanja odnosi se i na knjiženje potraživanja odnosno prihoda od prodaje nefinancijske imovine te je na AOP-u 159 – Potraživanja od prodaje nefinancijske imovine iskazan iznos od 303.602 kn dok je na AOP-u 250 – Obračunati prihodi od prodaje nefinancijske imovine iskazan iznos od  18.319 kn. Iznos od 18.319 kn odnosi na ukupno preostalo potraživanje nastalo tijekom 2021. godine. Preostali iznos u okviru AOP-a 159 kn u vrijednosti od 282.247 kn se odnosi na potraživanje iz 2012. godine prije prelaska na sustav proračunskog računovodstva te nema iskazanih obračunskih prihoda.</w:t>
      </w:r>
    </w:p>
    <w:p w14:paraId="4FE64636" w14:textId="77777777" w:rsidR="001B3DD7" w:rsidRPr="00486643" w:rsidRDefault="001B3DD7" w:rsidP="001B3DD7">
      <w:pPr>
        <w:jc w:val="both"/>
        <w:rPr>
          <w:rFonts w:ascii="TyponineSans Reg" w:hAnsi="TyponineSans Reg"/>
          <w:color w:val="0070C0"/>
          <w:szCs w:val="22"/>
        </w:rPr>
      </w:pPr>
    </w:p>
    <w:p w14:paraId="50206F1E" w14:textId="211663C4" w:rsidR="001B3DD7" w:rsidRDefault="001B3DD7" w:rsidP="001B3DD7">
      <w:pPr>
        <w:jc w:val="both"/>
        <w:rPr>
          <w:rFonts w:ascii="TyponineSans Reg" w:hAnsi="TyponineSans Reg"/>
          <w:color w:val="0070C0"/>
          <w:szCs w:val="22"/>
        </w:rPr>
      </w:pPr>
    </w:p>
    <w:p w14:paraId="72FE0BA0" w14:textId="77777777" w:rsidR="006170D2" w:rsidRPr="00486643" w:rsidRDefault="006170D2" w:rsidP="001B3DD7">
      <w:pPr>
        <w:jc w:val="both"/>
        <w:rPr>
          <w:rFonts w:ascii="TyponineSans Reg" w:hAnsi="TyponineSans Reg"/>
          <w:color w:val="0070C0"/>
          <w:szCs w:val="22"/>
        </w:rPr>
      </w:pPr>
    </w:p>
    <w:p w14:paraId="0753AD9D" w14:textId="77777777" w:rsidR="001B3DD7" w:rsidRPr="004F5AF6" w:rsidRDefault="001B3DD7" w:rsidP="001B3DD7">
      <w:pPr>
        <w:jc w:val="both"/>
        <w:rPr>
          <w:rFonts w:ascii="TyponineSans Reg" w:hAnsi="TyponineSans Reg"/>
          <w:szCs w:val="22"/>
        </w:rPr>
      </w:pPr>
      <w:r w:rsidRPr="004F5AF6">
        <w:rPr>
          <w:rFonts w:ascii="TyponineSans Reg" w:hAnsi="TyponineSans Reg"/>
          <w:szCs w:val="22"/>
        </w:rPr>
        <w:t>Pregled potraživanja na kontima razreda 17 iskazan je u slijedećoj tablici:</w:t>
      </w:r>
    </w:p>
    <w:p w14:paraId="3038201A" w14:textId="77777777" w:rsidR="001B3DD7" w:rsidRPr="00486643" w:rsidRDefault="001B3DD7" w:rsidP="001B3DD7">
      <w:pPr>
        <w:jc w:val="both"/>
        <w:rPr>
          <w:rFonts w:ascii="TyponineSans Reg" w:hAnsi="TyponineSans Reg"/>
          <w:color w:val="0070C0"/>
          <w:szCs w:val="22"/>
        </w:rPr>
      </w:pPr>
    </w:p>
    <w:p w14:paraId="74344488" w14:textId="77777777" w:rsidR="001B3DD7" w:rsidRPr="00486643" w:rsidRDefault="001B3DD7" w:rsidP="001B3DD7">
      <w:pPr>
        <w:jc w:val="both"/>
        <w:rPr>
          <w:rFonts w:ascii="TyponineSans Reg" w:hAnsi="TyponineSans Reg"/>
          <w:b/>
          <w:color w:val="0070C0"/>
          <w:sz w:val="24"/>
          <w:szCs w:val="24"/>
        </w:rPr>
      </w:pPr>
      <w:r w:rsidRPr="004F5AF6">
        <w:lastRenderedPageBreak/>
        <w:drawing>
          <wp:inline distT="0" distB="0" distL="0" distR="0" wp14:anchorId="1A3A9AAC" wp14:editId="07ED189D">
            <wp:extent cx="5038725" cy="1687973"/>
            <wp:effectExtent l="0" t="0" r="0" b="762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67459" cy="1697599"/>
                    </a:xfrm>
                    <a:prstGeom prst="rect">
                      <a:avLst/>
                    </a:prstGeom>
                    <a:noFill/>
                    <a:ln>
                      <a:noFill/>
                    </a:ln>
                  </pic:spPr>
                </pic:pic>
              </a:graphicData>
            </a:graphic>
          </wp:inline>
        </w:drawing>
      </w:r>
    </w:p>
    <w:p w14:paraId="7991974C" w14:textId="77777777" w:rsidR="001B3DD7" w:rsidRPr="00486643" w:rsidRDefault="001B3DD7" w:rsidP="001B3DD7">
      <w:pPr>
        <w:jc w:val="both"/>
        <w:rPr>
          <w:rFonts w:ascii="TyponineSans Reg" w:hAnsi="TyponineSans Reg"/>
          <w:b/>
          <w:color w:val="0070C0"/>
          <w:sz w:val="24"/>
          <w:szCs w:val="24"/>
        </w:rPr>
      </w:pPr>
    </w:p>
    <w:p w14:paraId="61662782" w14:textId="77777777" w:rsidR="001B3DD7" w:rsidRPr="004F5AF6" w:rsidRDefault="001B3DD7" w:rsidP="001B3DD7">
      <w:pPr>
        <w:jc w:val="both"/>
        <w:rPr>
          <w:rFonts w:ascii="TyponineSans Reg" w:hAnsi="TyponineSans Reg"/>
          <w:b/>
          <w:sz w:val="24"/>
          <w:szCs w:val="24"/>
        </w:rPr>
      </w:pPr>
      <w:r w:rsidRPr="004F5AF6">
        <w:rPr>
          <w:rFonts w:ascii="TyponineSans Reg" w:hAnsi="TyponineSans Reg"/>
          <w:b/>
          <w:sz w:val="24"/>
          <w:szCs w:val="24"/>
        </w:rPr>
        <w:t>AOP 165</w:t>
      </w:r>
    </w:p>
    <w:p w14:paraId="27068B75" w14:textId="77777777" w:rsidR="001B3DD7" w:rsidRPr="004F5AF6" w:rsidRDefault="001B3DD7" w:rsidP="001B3DD7">
      <w:pPr>
        <w:jc w:val="both"/>
        <w:rPr>
          <w:rFonts w:ascii="TyponineSans Reg" w:hAnsi="TyponineSans Reg"/>
          <w:b/>
          <w:sz w:val="24"/>
          <w:szCs w:val="24"/>
        </w:rPr>
      </w:pPr>
      <w:r w:rsidRPr="004F5AF6">
        <w:rPr>
          <w:rFonts w:ascii="TyponineSans Reg" w:hAnsi="TyponineSans Reg"/>
          <w:b/>
          <w:sz w:val="24"/>
          <w:szCs w:val="24"/>
        </w:rPr>
        <w:t xml:space="preserve">Rashodi budućih razdoblja </w:t>
      </w:r>
    </w:p>
    <w:p w14:paraId="4120CA31" w14:textId="77777777" w:rsidR="001B3DD7" w:rsidRPr="004F5AF6" w:rsidRDefault="001B3DD7" w:rsidP="001B3DD7">
      <w:pPr>
        <w:jc w:val="both"/>
        <w:rPr>
          <w:rFonts w:ascii="TyponineSans Reg" w:hAnsi="TyponineSans Reg"/>
          <w:b/>
          <w:sz w:val="24"/>
          <w:szCs w:val="24"/>
        </w:rPr>
      </w:pPr>
    </w:p>
    <w:p w14:paraId="21F9869B" w14:textId="77777777" w:rsidR="001B3DD7" w:rsidRPr="004F5AF6" w:rsidRDefault="001B3DD7" w:rsidP="001B3DD7">
      <w:pPr>
        <w:jc w:val="both"/>
        <w:rPr>
          <w:rFonts w:ascii="TyponineSans Reg" w:hAnsi="TyponineSans Reg"/>
          <w:szCs w:val="22"/>
        </w:rPr>
      </w:pPr>
      <w:r w:rsidRPr="004F5AF6">
        <w:rPr>
          <w:rFonts w:ascii="TyponineSans Reg" w:hAnsi="TyponineSans Reg"/>
          <w:szCs w:val="22"/>
        </w:rPr>
        <w:t>U okviru AOP-a 164</w:t>
      </w:r>
      <w:r w:rsidRPr="004F5AF6">
        <w:rPr>
          <w:rFonts w:ascii="TyponineSans Reg" w:hAnsi="TyponineSans Reg"/>
          <w:b/>
          <w:szCs w:val="22"/>
        </w:rPr>
        <w:t xml:space="preserve"> </w:t>
      </w:r>
      <w:r w:rsidRPr="004F5AF6">
        <w:rPr>
          <w:rFonts w:ascii="TyponineSans Reg" w:hAnsi="TyponineSans Reg"/>
          <w:szCs w:val="22"/>
        </w:rPr>
        <w:t>iskazana je neotpisana vrijednost one dugotrajne imovine Ustanove za čiju nabavnu vrijednost nije prilikom nabavke terećen poslovni rezultat Ustanove, a detaljnije o  tome pisano je u prethodnom dijelu Bilješki o Izvještaju o prihodima i rashodima vezano za AOP 637.</w:t>
      </w:r>
    </w:p>
    <w:p w14:paraId="7CADA2C0" w14:textId="77777777" w:rsidR="001B3DD7" w:rsidRPr="004F5AF6" w:rsidRDefault="001B3DD7" w:rsidP="001B3DD7">
      <w:pPr>
        <w:jc w:val="both"/>
        <w:rPr>
          <w:rFonts w:ascii="TyponineSans Reg" w:hAnsi="TyponineSans Reg"/>
          <w:sz w:val="24"/>
          <w:szCs w:val="24"/>
        </w:rPr>
      </w:pPr>
    </w:p>
    <w:p w14:paraId="2C4993AA" w14:textId="77777777" w:rsidR="001B3DD7" w:rsidRPr="004F5AF6" w:rsidRDefault="001B3DD7" w:rsidP="001B3DD7">
      <w:pPr>
        <w:jc w:val="both"/>
        <w:rPr>
          <w:rFonts w:ascii="TyponineSans Reg" w:hAnsi="TyponineSans Reg"/>
          <w:b/>
          <w:sz w:val="24"/>
          <w:szCs w:val="24"/>
        </w:rPr>
      </w:pPr>
    </w:p>
    <w:p w14:paraId="1DB2BA99" w14:textId="77777777" w:rsidR="001B3DD7" w:rsidRPr="0004663E" w:rsidRDefault="001B3DD7" w:rsidP="001B3DD7">
      <w:pPr>
        <w:jc w:val="both"/>
        <w:rPr>
          <w:rFonts w:ascii="TyponineSans Reg" w:hAnsi="TyponineSans Reg"/>
          <w:b/>
          <w:sz w:val="26"/>
          <w:szCs w:val="26"/>
        </w:rPr>
      </w:pPr>
      <w:r w:rsidRPr="0004663E">
        <w:rPr>
          <w:rFonts w:ascii="TyponineSans Reg" w:hAnsi="TyponineSans Reg"/>
          <w:b/>
          <w:sz w:val="26"/>
          <w:szCs w:val="26"/>
        </w:rPr>
        <w:t>Bilješka br. 3.2. – Obveze Ustanove</w:t>
      </w:r>
    </w:p>
    <w:p w14:paraId="6CAD5140" w14:textId="77777777" w:rsidR="001B3DD7" w:rsidRPr="0004663E" w:rsidRDefault="001B3DD7" w:rsidP="001B3DD7">
      <w:pPr>
        <w:jc w:val="both"/>
        <w:rPr>
          <w:rFonts w:ascii="TyponineSans Reg" w:hAnsi="TyponineSans Reg"/>
          <w:b/>
          <w:sz w:val="26"/>
          <w:szCs w:val="26"/>
        </w:rPr>
      </w:pPr>
    </w:p>
    <w:p w14:paraId="50130401" w14:textId="77777777" w:rsidR="001B3DD7" w:rsidRPr="0004663E" w:rsidRDefault="001B3DD7" w:rsidP="001B3DD7">
      <w:pPr>
        <w:jc w:val="both"/>
        <w:rPr>
          <w:rFonts w:ascii="TyponineSans Reg" w:hAnsi="TyponineSans Reg"/>
          <w:b/>
          <w:sz w:val="24"/>
          <w:szCs w:val="24"/>
        </w:rPr>
      </w:pPr>
      <w:r w:rsidRPr="0004663E">
        <w:rPr>
          <w:rFonts w:ascii="TyponineSans Reg" w:hAnsi="TyponineSans Reg"/>
          <w:b/>
          <w:sz w:val="24"/>
          <w:szCs w:val="24"/>
        </w:rPr>
        <w:t>AOP 171</w:t>
      </w:r>
    </w:p>
    <w:p w14:paraId="048D68AB" w14:textId="77777777" w:rsidR="001B3DD7" w:rsidRPr="0004663E" w:rsidRDefault="001B3DD7" w:rsidP="001B3DD7">
      <w:pPr>
        <w:jc w:val="both"/>
        <w:rPr>
          <w:rFonts w:ascii="TyponineSans Reg" w:hAnsi="TyponineSans Reg"/>
          <w:b/>
          <w:sz w:val="24"/>
          <w:szCs w:val="24"/>
        </w:rPr>
      </w:pPr>
      <w:r w:rsidRPr="0004663E">
        <w:rPr>
          <w:rFonts w:ascii="TyponineSans Reg" w:hAnsi="TyponineSans Reg"/>
          <w:b/>
          <w:sz w:val="24"/>
          <w:szCs w:val="24"/>
        </w:rPr>
        <w:t>Obveze za rashode poslovanja</w:t>
      </w:r>
    </w:p>
    <w:p w14:paraId="3FF5147B" w14:textId="77777777" w:rsidR="001B3DD7" w:rsidRPr="0004663E" w:rsidRDefault="001B3DD7" w:rsidP="001B3DD7">
      <w:pPr>
        <w:jc w:val="both"/>
        <w:rPr>
          <w:rFonts w:ascii="TyponineSans Reg" w:hAnsi="TyponineSans Reg"/>
          <w:b/>
          <w:sz w:val="24"/>
          <w:szCs w:val="24"/>
        </w:rPr>
      </w:pPr>
    </w:p>
    <w:p w14:paraId="381F7A8A" w14:textId="77777777" w:rsidR="001B3DD7" w:rsidRPr="00E377BB" w:rsidRDefault="001B3DD7" w:rsidP="001B3DD7">
      <w:pPr>
        <w:jc w:val="both"/>
        <w:rPr>
          <w:rFonts w:ascii="TyponineSans Reg" w:hAnsi="TyponineSans Reg"/>
          <w:szCs w:val="22"/>
        </w:rPr>
      </w:pPr>
      <w:r w:rsidRPr="00E377BB">
        <w:rPr>
          <w:rFonts w:ascii="TyponineSans Reg" w:hAnsi="TyponineSans Reg"/>
          <w:szCs w:val="22"/>
        </w:rPr>
        <w:t>Ukupne obveze za rashode poslovanja na dan 31.12.2021. iznosile su ukupno 4.741.227 kn, a odnose se na slijedeće stavke:</w:t>
      </w:r>
    </w:p>
    <w:p w14:paraId="2AACE164" w14:textId="77777777" w:rsidR="001B3DD7" w:rsidRPr="00E377BB" w:rsidRDefault="001B3DD7" w:rsidP="001B3DD7">
      <w:pPr>
        <w:numPr>
          <w:ilvl w:val="0"/>
          <w:numId w:val="23"/>
        </w:numPr>
        <w:jc w:val="both"/>
        <w:rPr>
          <w:rFonts w:ascii="TyponineSans Reg" w:hAnsi="TyponineSans Reg"/>
          <w:szCs w:val="22"/>
        </w:rPr>
      </w:pPr>
      <w:r w:rsidRPr="00E377BB">
        <w:rPr>
          <w:rFonts w:ascii="TyponineSans Reg" w:hAnsi="TyponineSans Reg"/>
          <w:szCs w:val="22"/>
        </w:rPr>
        <w:t>Obveze za zaposlene odnosno obveze za obračunatu plaću od prosinca 2021. godine koja će biti  isplaćena u siječnju 2022. godine u iznosu od 2.097.704 kn</w:t>
      </w:r>
    </w:p>
    <w:p w14:paraId="454F8A53" w14:textId="77777777" w:rsidR="001B3DD7" w:rsidRPr="00E377BB" w:rsidRDefault="001B3DD7" w:rsidP="001B3DD7">
      <w:pPr>
        <w:numPr>
          <w:ilvl w:val="0"/>
          <w:numId w:val="23"/>
        </w:numPr>
        <w:jc w:val="both"/>
        <w:rPr>
          <w:rFonts w:ascii="TyponineSans Reg" w:hAnsi="TyponineSans Reg"/>
          <w:szCs w:val="22"/>
        </w:rPr>
      </w:pPr>
      <w:r w:rsidRPr="00E377BB">
        <w:rPr>
          <w:rFonts w:ascii="TyponineSans Reg" w:hAnsi="TyponineSans Reg"/>
          <w:szCs w:val="22"/>
        </w:rPr>
        <w:t xml:space="preserve">Obveze za materijalne rashode u iznosu od 1.960.584 kn </w:t>
      </w:r>
    </w:p>
    <w:p w14:paraId="177A798E" w14:textId="77777777" w:rsidR="001B3DD7" w:rsidRPr="00E377BB" w:rsidRDefault="001B3DD7" w:rsidP="001B3DD7">
      <w:pPr>
        <w:numPr>
          <w:ilvl w:val="0"/>
          <w:numId w:val="23"/>
        </w:numPr>
        <w:jc w:val="both"/>
        <w:rPr>
          <w:rFonts w:ascii="TyponineSans Reg" w:hAnsi="TyponineSans Reg"/>
          <w:szCs w:val="22"/>
        </w:rPr>
      </w:pPr>
      <w:r w:rsidRPr="00E377BB">
        <w:rPr>
          <w:rFonts w:ascii="TyponineSans Reg" w:hAnsi="TyponineSans Reg"/>
          <w:szCs w:val="22"/>
        </w:rPr>
        <w:t>Obveze za financijske rashode odnosno zatezne kamate iz odnosa sa dobavljačima u iznosu od 1.777 kn</w:t>
      </w:r>
    </w:p>
    <w:p w14:paraId="50960989" w14:textId="77777777" w:rsidR="001B3DD7" w:rsidRPr="00E377BB" w:rsidRDefault="001B3DD7" w:rsidP="001B3DD7">
      <w:pPr>
        <w:numPr>
          <w:ilvl w:val="0"/>
          <w:numId w:val="23"/>
        </w:numPr>
        <w:jc w:val="both"/>
        <w:rPr>
          <w:rFonts w:ascii="TyponineSans Reg" w:hAnsi="TyponineSans Reg"/>
          <w:szCs w:val="22"/>
        </w:rPr>
      </w:pPr>
      <w:r w:rsidRPr="00E377BB">
        <w:rPr>
          <w:rFonts w:ascii="TyponineSans Reg" w:hAnsi="TyponineSans Reg"/>
          <w:szCs w:val="22"/>
        </w:rPr>
        <w:t>Ostale tekuće obveze u iznosu od 681.162 kuna što je znatno manje u odnosu na prethodnu godinu kada su iznosile 4.376.418 kn od čega se najveći dio prošlogodišnjih obveza odnosio na  obveze za primljena, a do 31.12.2020.g. neoprihodovana sredstava za EU predujmove po projektu Novo ruho Brijuna u iznosu od 3.173.985 kn  budući da se radilo o plaćenom predujmu za nabavku novog putničkog broda za koje troškovi još nisu bili iskazani u poslovnim knjigama.</w:t>
      </w:r>
    </w:p>
    <w:p w14:paraId="26F8BB84" w14:textId="77777777" w:rsidR="001B3DD7" w:rsidRPr="00E377BB" w:rsidRDefault="001B3DD7" w:rsidP="001B3DD7">
      <w:pPr>
        <w:ind w:left="720"/>
        <w:jc w:val="both"/>
        <w:rPr>
          <w:rFonts w:ascii="TyponineSans Reg" w:hAnsi="TyponineSans Reg"/>
          <w:szCs w:val="22"/>
        </w:rPr>
      </w:pPr>
      <w:r w:rsidRPr="00E377BB">
        <w:rPr>
          <w:rFonts w:ascii="TyponineSans Reg" w:hAnsi="TyponineSans Reg"/>
          <w:szCs w:val="22"/>
        </w:rPr>
        <w:t xml:space="preserve">Kako je tijekom 2021. godine dovršena izgradnja broda i primljen konačni račun za brod iznos od 3.173.985 kn preknjižen je sa konta obveza na prihode od kapitalnih pomoći od institucija i tijela Eu. </w:t>
      </w:r>
    </w:p>
    <w:p w14:paraId="2F3E7C43" w14:textId="77777777" w:rsidR="001B3DD7" w:rsidRPr="00E377BB" w:rsidRDefault="001B3DD7" w:rsidP="001B3DD7">
      <w:pPr>
        <w:ind w:left="720"/>
        <w:jc w:val="both"/>
        <w:rPr>
          <w:rFonts w:ascii="TyponineSans Reg" w:hAnsi="TyponineSans Reg"/>
          <w:szCs w:val="22"/>
        </w:rPr>
      </w:pPr>
      <w:r w:rsidRPr="00E377BB">
        <w:rPr>
          <w:rFonts w:ascii="TyponineSans Reg" w:hAnsi="TyponineSans Reg"/>
          <w:szCs w:val="22"/>
        </w:rPr>
        <w:t>Obveze iskazane na dan 31.12.2021. godine odnose se najvećim dijelom na  primljene predujmove turističkih agencija i individualnih gostiju u iznosu od 543.046 kn, te ostale obveze kao što su obveze za primljene jamčevine, boravišnu pristojbu i sl. evidentirane u ukupnom iznosu od 138.116 kn</w:t>
      </w:r>
    </w:p>
    <w:p w14:paraId="0B31F0DB" w14:textId="77777777" w:rsidR="001B3DD7" w:rsidRPr="00E377BB" w:rsidRDefault="001B3DD7" w:rsidP="001B3DD7">
      <w:pPr>
        <w:jc w:val="both"/>
        <w:rPr>
          <w:rFonts w:ascii="TyponineSans Reg" w:hAnsi="TyponineSans Reg"/>
          <w:b/>
          <w:szCs w:val="22"/>
        </w:rPr>
      </w:pPr>
    </w:p>
    <w:p w14:paraId="5FD8519E" w14:textId="05A4EC62" w:rsidR="001B3DD7" w:rsidRDefault="001B3DD7" w:rsidP="001B3DD7">
      <w:pPr>
        <w:jc w:val="both"/>
        <w:rPr>
          <w:rFonts w:ascii="TyponineSans Reg" w:hAnsi="TyponineSans Reg"/>
          <w:b/>
          <w:color w:val="0070C0"/>
          <w:sz w:val="24"/>
          <w:szCs w:val="24"/>
        </w:rPr>
      </w:pPr>
    </w:p>
    <w:p w14:paraId="230D0C0C" w14:textId="4693F4C9" w:rsidR="002B2842" w:rsidRDefault="002B2842" w:rsidP="001B3DD7">
      <w:pPr>
        <w:jc w:val="both"/>
        <w:rPr>
          <w:rFonts w:ascii="TyponineSans Reg" w:hAnsi="TyponineSans Reg"/>
          <w:b/>
          <w:color w:val="0070C0"/>
          <w:sz w:val="24"/>
          <w:szCs w:val="24"/>
        </w:rPr>
      </w:pPr>
    </w:p>
    <w:p w14:paraId="3522A759" w14:textId="0D7AE37E" w:rsidR="002B2842" w:rsidRDefault="002B2842" w:rsidP="001B3DD7">
      <w:pPr>
        <w:jc w:val="both"/>
        <w:rPr>
          <w:rFonts w:ascii="TyponineSans Reg" w:hAnsi="TyponineSans Reg"/>
          <w:b/>
          <w:color w:val="0070C0"/>
          <w:sz w:val="24"/>
          <w:szCs w:val="24"/>
        </w:rPr>
      </w:pPr>
    </w:p>
    <w:p w14:paraId="3E760A4D" w14:textId="51760849" w:rsidR="002B2842" w:rsidRDefault="002B2842" w:rsidP="001B3DD7">
      <w:pPr>
        <w:jc w:val="both"/>
        <w:rPr>
          <w:rFonts w:ascii="TyponineSans Reg" w:hAnsi="TyponineSans Reg"/>
          <w:b/>
          <w:color w:val="0070C0"/>
          <w:sz w:val="24"/>
          <w:szCs w:val="24"/>
        </w:rPr>
      </w:pPr>
    </w:p>
    <w:p w14:paraId="0E2BE359" w14:textId="44BD77D1" w:rsidR="002B2842" w:rsidRDefault="002B2842" w:rsidP="001B3DD7">
      <w:pPr>
        <w:jc w:val="both"/>
        <w:rPr>
          <w:rFonts w:ascii="TyponineSans Reg" w:hAnsi="TyponineSans Reg"/>
          <w:b/>
          <w:color w:val="0070C0"/>
          <w:sz w:val="24"/>
          <w:szCs w:val="24"/>
        </w:rPr>
      </w:pPr>
    </w:p>
    <w:p w14:paraId="2F3E48B4" w14:textId="77777777" w:rsidR="002B2842" w:rsidRPr="00486643" w:rsidRDefault="002B2842" w:rsidP="001B3DD7">
      <w:pPr>
        <w:jc w:val="both"/>
        <w:rPr>
          <w:rFonts w:ascii="TyponineSans Reg" w:hAnsi="TyponineSans Reg"/>
          <w:b/>
          <w:color w:val="0070C0"/>
          <w:sz w:val="24"/>
          <w:szCs w:val="24"/>
        </w:rPr>
      </w:pPr>
    </w:p>
    <w:p w14:paraId="08C00806" w14:textId="77777777" w:rsidR="001B3DD7" w:rsidRPr="00C124F9" w:rsidRDefault="001B3DD7" w:rsidP="001B3DD7">
      <w:pPr>
        <w:jc w:val="both"/>
        <w:rPr>
          <w:rFonts w:ascii="TyponineSans Reg" w:hAnsi="TyponineSans Reg"/>
          <w:b/>
          <w:sz w:val="24"/>
          <w:szCs w:val="24"/>
        </w:rPr>
      </w:pPr>
      <w:r w:rsidRPr="00C124F9">
        <w:rPr>
          <w:rFonts w:ascii="TyponineSans Reg" w:hAnsi="TyponineSans Reg"/>
          <w:b/>
          <w:sz w:val="24"/>
          <w:szCs w:val="24"/>
        </w:rPr>
        <w:lastRenderedPageBreak/>
        <w:t>AOP 239 - AOP 247</w:t>
      </w:r>
    </w:p>
    <w:p w14:paraId="4A0077B1" w14:textId="77777777" w:rsidR="001B3DD7" w:rsidRPr="00C124F9" w:rsidRDefault="001B3DD7" w:rsidP="001B3DD7">
      <w:pPr>
        <w:jc w:val="both"/>
        <w:rPr>
          <w:rFonts w:ascii="TyponineSans Reg" w:hAnsi="TyponineSans Reg"/>
          <w:b/>
          <w:sz w:val="24"/>
          <w:szCs w:val="24"/>
        </w:rPr>
      </w:pPr>
      <w:r w:rsidRPr="00C124F9">
        <w:rPr>
          <w:rFonts w:ascii="TyponineSans Reg" w:hAnsi="TyponineSans Reg"/>
          <w:b/>
          <w:sz w:val="24"/>
          <w:szCs w:val="24"/>
        </w:rPr>
        <w:t>Višak prihoda poslovanja /</w:t>
      </w:r>
    </w:p>
    <w:p w14:paraId="0EFC8CE8" w14:textId="77777777" w:rsidR="001B3DD7" w:rsidRPr="00C124F9" w:rsidRDefault="001B3DD7" w:rsidP="001B3DD7">
      <w:pPr>
        <w:jc w:val="both"/>
        <w:rPr>
          <w:rFonts w:ascii="TyponineSans Reg" w:hAnsi="TyponineSans Reg"/>
          <w:b/>
          <w:sz w:val="24"/>
          <w:szCs w:val="24"/>
        </w:rPr>
      </w:pPr>
      <w:r w:rsidRPr="00C124F9">
        <w:rPr>
          <w:rFonts w:ascii="TyponineSans Reg" w:hAnsi="TyponineSans Reg"/>
          <w:b/>
          <w:sz w:val="24"/>
          <w:szCs w:val="24"/>
        </w:rPr>
        <w:t>Manjak prihoda od nefinancijske imovine</w:t>
      </w:r>
    </w:p>
    <w:p w14:paraId="09B65E53" w14:textId="77777777" w:rsidR="001B3DD7" w:rsidRPr="00C124F9" w:rsidRDefault="001B3DD7" w:rsidP="001B3DD7">
      <w:pPr>
        <w:jc w:val="both"/>
        <w:rPr>
          <w:rFonts w:ascii="TyponineSans Reg" w:hAnsi="TyponineSans Reg"/>
          <w:b/>
          <w:sz w:val="24"/>
          <w:szCs w:val="24"/>
        </w:rPr>
      </w:pPr>
    </w:p>
    <w:p w14:paraId="344D58EA" w14:textId="77777777" w:rsidR="001B3DD7" w:rsidRPr="00C124F9" w:rsidRDefault="001B3DD7" w:rsidP="001B3DD7">
      <w:pPr>
        <w:jc w:val="both"/>
        <w:rPr>
          <w:rFonts w:ascii="TyponineSans Reg" w:hAnsi="TyponineSans Reg"/>
          <w:szCs w:val="22"/>
        </w:rPr>
      </w:pPr>
      <w:r w:rsidRPr="00C124F9">
        <w:rPr>
          <w:rFonts w:ascii="TyponineSans Reg" w:hAnsi="TyponineSans Reg"/>
          <w:szCs w:val="22"/>
        </w:rPr>
        <w:t>Na dan 31.12.2021. godine Ustanova je ostvarila poslovni rezultat iskazan u slijedećoj tablici:</w:t>
      </w:r>
    </w:p>
    <w:p w14:paraId="1658DCC8" w14:textId="77777777" w:rsidR="001B3DD7" w:rsidRPr="00C124F9" w:rsidRDefault="001B3DD7" w:rsidP="001B3DD7">
      <w:pPr>
        <w:jc w:val="both"/>
        <w:rPr>
          <w:rFonts w:ascii="TyponineSans Reg" w:hAnsi="TyponineSans Reg"/>
        </w:rPr>
      </w:pPr>
    </w:p>
    <w:p w14:paraId="6A1A9AFA" w14:textId="77777777" w:rsidR="001B3DD7" w:rsidRPr="00486643" w:rsidRDefault="001B3DD7" w:rsidP="001B3DD7">
      <w:pPr>
        <w:jc w:val="both"/>
        <w:rPr>
          <w:rFonts w:ascii="TyponineSans Reg" w:hAnsi="TyponineSans Reg"/>
          <w:color w:val="0070C0"/>
        </w:rPr>
      </w:pPr>
    </w:p>
    <w:p w14:paraId="19B85D1D" w14:textId="77777777" w:rsidR="001B3DD7" w:rsidRPr="00486643" w:rsidRDefault="001B3DD7" w:rsidP="001B3DD7">
      <w:pPr>
        <w:jc w:val="both"/>
        <w:rPr>
          <w:rFonts w:ascii="TyponineSans Reg" w:hAnsi="TyponineSans Reg"/>
          <w:color w:val="0070C0"/>
        </w:rPr>
      </w:pPr>
      <w:r w:rsidRPr="004C3F8E">
        <w:drawing>
          <wp:inline distT="0" distB="0" distL="0" distR="0" wp14:anchorId="7088C605" wp14:editId="4A21943E">
            <wp:extent cx="5048250" cy="5953125"/>
            <wp:effectExtent l="0" t="0" r="0"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48250" cy="5953125"/>
                    </a:xfrm>
                    <a:prstGeom prst="rect">
                      <a:avLst/>
                    </a:prstGeom>
                    <a:noFill/>
                    <a:ln>
                      <a:noFill/>
                    </a:ln>
                  </pic:spPr>
                </pic:pic>
              </a:graphicData>
            </a:graphic>
          </wp:inline>
        </w:drawing>
      </w:r>
    </w:p>
    <w:p w14:paraId="50D8D16A" w14:textId="77777777" w:rsidR="001B3DD7" w:rsidRPr="00486643" w:rsidRDefault="001B3DD7" w:rsidP="001B3DD7">
      <w:pPr>
        <w:jc w:val="both"/>
        <w:rPr>
          <w:rFonts w:ascii="TyponineSans Reg" w:hAnsi="TyponineSans Reg"/>
          <w:color w:val="0070C0"/>
          <w:sz w:val="24"/>
          <w:szCs w:val="24"/>
        </w:rPr>
      </w:pPr>
    </w:p>
    <w:p w14:paraId="28E6ABF9" w14:textId="77777777" w:rsidR="001B3DD7" w:rsidRPr="00075F3F" w:rsidRDefault="001B3DD7" w:rsidP="001B3DD7">
      <w:pPr>
        <w:jc w:val="both"/>
        <w:rPr>
          <w:rFonts w:ascii="TyponineSans Reg" w:hAnsi="TyponineSans Reg"/>
          <w:szCs w:val="22"/>
        </w:rPr>
      </w:pPr>
      <w:r w:rsidRPr="00075F3F">
        <w:rPr>
          <w:rFonts w:ascii="TyponineSans Reg" w:hAnsi="TyponineSans Reg"/>
          <w:szCs w:val="22"/>
        </w:rPr>
        <w:t xml:space="preserve">Tijekom godine ostvaren je višak prihoda poslovanja od 31.281.830,26, kn te manjak prihoda od nefinancijske imovine u iznosu od </w:t>
      </w:r>
      <w:r>
        <w:rPr>
          <w:rFonts w:ascii="TyponineSans Reg" w:hAnsi="TyponineSans Reg"/>
          <w:szCs w:val="22"/>
        </w:rPr>
        <w:t>28</w:t>
      </w:r>
      <w:r w:rsidRPr="00075F3F">
        <w:rPr>
          <w:rFonts w:ascii="TyponineSans Reg" w:hAnsi="TyponineSans Reg"/>
          <w:szCs w:val="22"/>
        </w:rPr>
        <w:t>.</w:t>
      </w:r>
      <w:r>
        <w:rPr>
          <w:rFonts w:ascii="TyponineSans Reg" w:hAnsi="TyponineSans Reg"/>
          <w:szCs w:val="22"/>
        </w:rPr>
        <w:t>639</w:t>
      </w:r>
      <w:r w:rsidRPr="00075F3F">
        <w:rPr>
          <w:rFonts w:ascii="TyponineSans Reg" w:hAnsi="TyponineSans Reg"/>
          <w:szCs w:val="22"/>
        </w:rPr>
        <w:t>.</w:t>
      </w:r>
      <w:r>
        <w:rPr>
          <w:rFonts w:ascii="TyponineSans Reg" w:hAnsi="TyponineSans Reg"/>
          <w:szCs w:val="22"/>
        </w:rPr>
        <w:t>277</w:t>
      </w:r>
      <w:r w:rsidRPr="00075F3F">
        <w:rPr>
          <w:rFonts w:ascii="TyponineSans Reg" w:hAnsi="TyponineSans Reg"/>
          <w:szCs w:val="22"/>
        </w:rPr>
        <w:t>,</w:t>
      </w:r>
      <w:r>
        <w:rPr>
          <w:rFonts w:ascii="TyponineSans Reg" w:hAnsi="TyponineSans Reg"/>
          <w:szCs w:val="22"/>
        </w:rPr>
        <w:t>31</w:t>
      </w:r>
      <w:r w:rsidRPr="00075F3F">
        <w:rPr>
          <w:rFonts w:ascii="TyponineSans Reg" w:hAnsi="TyponineSans Reg"/>
          <w:szCs w:val="22"/>
        </w:rPr>
        <w:t xml:space="preserve"> kn. </w:t>
      </w:r>
    </w:p>
    <w:p w14:paraId="3460287A" w14:textId="77777777" w:rsidR="001B3DD7" w:rsidRPr="00075F3F" w:rsidRDefault="001B3DD7" w:rsidP="001B3DD7">
      <w:pPr>
        <w:jc w:val="both"/>
        <w:rPr>
          <w:rFonts w:ascii="TyponineSans Reg" w:hAnsi="TyponineSans Reg"/>
          <w:szCs w:val="22"/>
        </w:rPr>
      </w:pPr>
    </w:p>
    <w:p w14:paraId="67FDB2ED" w14:textId="77777777" w:rsidR="001B3DD7" w:rsidRPr="00075F3F" w:rsidRDefault="001B3DD7" w:rsidP="001B3DD7">
      <w:pPr>
        <w:jc w:val="both"/>
        <w:rPr>
          <w:rFonts w:ascii="TyponineSans Reg" w:hAnsi="TyponineSans Reg"/>
          <w:szCs w:val="22"/>
        </w:rPr>
      </w:pPr>
      <w:r w:rsidRPr="00075F3F">
        <w:rPr>
          <w:rFonts w:ascii="TyponineSans Reg" w:hAnsi="TyponineSans Reg"/>
          <w:szCs w:val="22"/>
        </w:rPr>
        <w:t xml:space="preserve">Uz preneseni višak rezultata poslovanja od prethodne godine u iznosu od 1.454.633,00 kn u kumulativu je  iskazan  višak prihoda od poslovanja koji </w:t>
      </w:r>
      <w:r>
        <w:rPr>
          <w:rFonts w:ascii="TyponineSans Reg" w:hAnsi="TyponineSans Reg"/>
          <w:szCs w:val="22"/>
        </w:rPr>
        <w:t xml:space="preserve">bi </w:t>
      </w:r>
      <w:r w:rsidRPr="00075F3F">
        <w:rPr>
          <w:rFonts w:ascii="TyponineSans Reg" w:hAnsi="TyponineSans Reg"/>
          <w:szCs w:val="22"/>
        </w:rPr>
        <w:t>na dan 31.12.2021.</w:t>
      </w:r>
      <w:r>
        <w:rPr>
          <w:rFonts w:ascii="TyponineSans Reg" w:hAnsi="TyponineSans Reg"/>
          <w:szCs w:val="22"/>
        </w:rPr>
        <w:t>, a prije kapitalne korekcije,</w:t>
      </w:r>
      <w:r w:rsidRPr="00075F3F">
        <w:rPr>
          <w:rFonts w:ascii="TyponineSans Reg" w:hAnsi="TyponineSans Reg"/>
          <w:szCs w:val="22"/>
        </w:rPr>
        <w:t xml:space="preserve"> iznosi</w:t>
      </w:r>
      <w:r>
        <w:rPr>
          <w:rFonts w:ascii="TyponineSans Reg" w:hAnsi="TyponineSans Reg"/>
          <w:szCs w:val="22"/>
        </w:rPr>
        <w:t xml:space="preserve">o ukupno </w:t>
      </w:r>
      <w:r w:rsidRPr="00075F3F">
        <w:rPr>
          <w:rFonts w:ascii="TyponineSans Reg" w:hAnsi="TyponineSans Reg"/>
          <w:szCs w:val="22"/>
        </w:rPr>
        <w:t xml:space="preserve"> 32.736.463,26 kn.</w:t>
      </w:r>
    </w:p>
    <w:p w14:paraId="0AC60970" w14:textId="77777777" w:rsidR="001B3DD7" w:rsidRPr="00075F3F" w:rsidRDefault="001B3DD7" w:rsidP="001B3DD7">
      <w:pPr>
        <w:jc w:val="both"/>
        <w:rPr>
          <w:rFonts w:ascii="TyponineSans Reg" w:hAnsi="TyponineSans Reg"/>
          <w:szCs w:val="22"/>
        </w:rPr>
      </w:pPr>
      <w:r w:rsidRPr="00075F3F">
        <w:rPr>
          <w:rFonts w:ascii="TyponineSans Reg" w:hAnsi="TyponineSans Reg"/>
          <w:szCs w:val="22"/>
        </w:rPr>
        <w:t xml:space="preserve"> </w:t>
      </w:r>
    </w:p>
    <w:p w14:paraId="6A64D145" w14:textId="77777777" w:rsidR="001B3DD7" w:rsidRPr="00075F3F" w:rsidRDefault="001B3DD7" w:rsidP="001B3DD7">
      <w:pPr>
        <w:jc w:val="both"/>
        <w:rPr>
          <w:rFonts w:ascii="TyponineSans Reg" w:hAnsi="TyponineSans Reg"/>
          <w:szCs w:val="22"/>
        </w:rPr>
      </w:pPr>
      <w:r w:rsidRPr="00075F3F">
        <w:rPr>
          <w:rFonts w:ascii="TyponineSans Reg" w:hAnsi="TyponineSans Reg"/>
          <w:szCs w:val="22"/>
        </w:rPr>
        <w:lastRenderedPageBreak/>
        <w:t>Isto tako, uz preneseni manjak nefinancijske imovine iz prethodnih godina u iznosu od 47.591.987,93 kn i knjiženu neotpisanu vrijednost materijalne imovine na teret konta 9222</w:t>
      </w:r>
      <w:r w:rsidRPr="00075F3F">
        <w:rPr>
          <w:rFonts w:ascii="TyponineSans Reg" w:hAnsi="TyponineSans Reg"/>
          <w:sz w:val="24"/>
          <w:szCs w:val="24"/>
        </w:rPr>
        <w:t xml:space="preserve"> </w:t>
      </w:r>
      <w:r w:rsidRPr="00075F3F">
        <w:rPr>
          <w:rFonts w:ascii="TyponineSans Reg" w:hAnsi="TyponineSans Reg"/>
          <w:szCs w:val="22"/>
        </w:rPr>
        <w:t xml:space="preserve">godine u ukupnom iznosu od 2.335.227,36 kn manjak prihoda od nefinancijske imovine iznosio bi  78.566.492,60 kn. </w:t>
      </w:r>
    </w:p>
    <w:p w14:paraId="38BD3E20" w14:textId="77777777" w:rsidR="001B3DD7" w:rsidRPr="00075F3F" w:rsidRDefault="001B3DD7" w:rsidP="001B3DD7">
      <w:pPr>
        <w:jc w:val="both"/>
        <w:rPr>
          <w:rFonts w:ascii="TyponineSans Reg" w:hAnsi="TyponineSans Reg"/>
          <w:szCs w:val="22"/>
        </w:rPr>
      </w:pPr>
    </w:p>
    <w:p w14:paraId="4F052758" w14:textId="77777777" w:rsidR="001B3DD7" w:rsidRPr="00075F3F" w:rsidRDefault="001B3DD7" w:rsidP="001B3DD7">
      <w:pPr>
        <w:jc w:val="both"/>
        <w:rPr>
          <w:rFonts w:ascii="TyponineSans Reg" w:hAnsi="TyponineSans Reg"/>
          <w:szCs w:val="22"/>
        </w:rPr>
      </w:pPr>
      <w:r w:rsidRPr="00075F3F">
        <w:rPr>
          <w:rFonts w:ascii="TyponineSans Reg" w:hAnsi="TyponineSans Reg"/>
          <w:szCs w:val="22"/>
        </w:rPr>
        <w:t>Nakon provedene obavezne korekcije poslovnog rezultata za primljene i realizirane kapitalne pomoći u iznosu od 13.984.585,73 kn iskazan je višak prihoda od poslovanja te na dan 31.12.2021. godine iznosi 18.751.877,53 kn uz istovremeno smanjenje negativnog rezultata nefinancijske imovine koji nakon provedene korekcije iznosi 64.581.906,87 kn.</w:t>
      </w:r>
    </w:p>
    <w:p w14:paraId="13C32D05" w14:textId="77777777" w:rsidR="001B3DD7" w:rsidRPr="00075F3F" w:rsidRDefault="001B3DD7" w:rsidP="001B3DD7">
      <w:pPr>
        <w:jc w:val="both"/>
        <w:rPr>
          <w:rFonts w:ascii="TyponineSans Reg" w:hAnsi="TyponineSans Reg"/>
          <w:szCs w:val="22"/>
        </w:rPr>
      </w:pPr>
    </w:p>
    <w:p w14:paraId="41A2C852" w14:textId="77777777" w:rsidR="001B3DD7" w:rsidRPr="00075F3F" w:rsidRDefault="001B3DD7" w:rsidP="001B3DD7">
      <w:pPr>
        <w:jc w:val="both"/>
        <w:rPr>
          <w:rFonts w:ascii="TyponineSans Reg" w:hAnsi="TyponineSans Reg"/>
          <w:szCs w:val="22"/>
        </w:rPr>
      </w:pPr>
    </w:p>
    <w:p w14:paraId="1CEBD1C6" w14:textId="77777777" w:rsidR="001B3DD7" w:rsidRPr="00075F3F" w:rsidRDefault="001B3DD7" w:rsidP="001B3DD7">
      <w:pPr>
        <w:jc w:val="both"/>
        <w:rPr>
          <w:rFonts w:ascii="TyponineSans Reg" w:hAnsi="TyponineSans Reg"/>
          <w:szCs w:val="22"/>
        </w:rPr>
      </w:pPr>
    </w:p>
    <w:p w14:paraId="1DDB668F" w14:textId="77777777" w:rsidR="001B3DD7" w:rsidRPr="00075F3F" w:rsidRDefault="001B3DD7" w:rsidP="001B3DD7">
      <w:pPr>
        <w:jc w:val="both"/>
        <w:rPr>
          <w:rFonts w:ascii="TyponineSans Reg" w:hAnsi="TyponineSans Reg"/>
          <w:szCs w:val="22"/>
        </w:rPr>
      </w:pPr>
      <w:r w:rsidRPr="00075F3F">
        <w:rPr>
          <w:rFonts w:ascii="TyponineSans Reg" w:hAnsi="TyponineSans Reg"/>
          <w:szCs w:val="22"/>
        </w:rPr>
        <w:t>Iznos obavezne korekcije proveden je u skladu sa čl. 82 Pravilnika o proračunskom računovodstvu, a odnosi se na iznose knjižene na slijedećim kontima:</w:t>
      </w:r>
    </w:p>
    <w:p w14:paraId="04FA3653" w14:textId="77777777" w:rsidR="001B3DD7" w:rsidRPr="00075F3F" w:rsidRDefault="001B3DD7" w:rsidP="001B3DD7">
      <w:pPr>
        <w:numPr>
          <w:ilvl w:val="0"/>
          <w:numId w:val="33"/>
        </w:numPr>
        <w:jc w:val="both"/>
        <w:rPr>
          <w:rFonts w:ascii="TyponineSans Reg" w:hAnsi="TyponineSans Reg"/>
          <w:szCs w:val="22"/>
        </w:rPr>
      </w:pPr>
      <w:r w:rsidRPr="00075F3F">
        <w:rPr>
          <w:rFonts w:ascii="TyponineSans Reg" w:hAnsi="TyponineSans Reg"/>
          <w:szCs w:val="22"/>
        </w:rPr>
        <w:t xml:space="preserve">Konto 63241 – Kapitalne pomoći od institucija i tijela EU, koje se odnose na sredstva primljenja vezano za provedbu  projekta Interreg </w:t>
      </w:r>
      <w:r w:rsidRPr="00075F3F">
        <w:rPr>
          <w:rFonts w:ascii="TyponineSans Reg" w:hAnsi="TyponineSans Reg" w:cs="Calibri"/>
          <w:szCs w:val="22"/>
        </w:rPr>
        <w:t xml:space="preserve"> program Mediteran 2014. – 2020 g.</w:t>
      </w:r>
      <w:r w:rsidRPr="00075F3F">
        <w:rPr>
          <w:rFonts w:ascii="TyponineSans Reg" w:hAnsi="TyponineSans Reg"/>
          <w:szCs w:val="22"/>
        </w:rPr>
        <w:t xml:space="preserve"> u iznosu od 4.633,45 kn, te </w:t>
      </w:r>
      <w:r w:rsidRPr="00075F3F">
        <w:rPr>
          <w:rFonts w:ascii="TyponineSans Reg" w:hAnsi="TyponineSans Reg" w:cs="Calibri"/>
          <w:szCs w:val="22"/>
        </w:rPr>
        <w:t xml:space="preserve"> sredstva primljena temeljem projekta Novo ruho Brijuna iz Programa Konkurentnost i kohezija 2014 – 2020 mjera 6c2 u iznosu od 11.912.408,30 kn</w:t>
      </w:r>
    </w:p>
    <w:p w14:paraId="0E02AE60" w14:textId="77777777" w:rsidR="001B3DD7" w:rsidRPr="00075F3F" w:rsidRDefault="001B3DD7" w:rsidP="001B3DD7">
      <w:pPr>
        <w:numPr>
          <w:ilvl w:val="0"/>
          <w:numId w:val="33"/>
        </w:numPr>
        <w:jc w:val="both"/>
        <w:rPr>
          <w:rFonts w:ascii="TyponineSans Reg" w:hAnsi="TyponineSans Reg"/>
          <w:szCs w:val="22"/>
        </w:rPr>
      </w:pPr>
      <w:r w:rsidRPr="00075F3F">
        <w:rPr>
          <w:rFonts w:ascii="TyponineSans Reg" w:hAnsi="TyponineSans Reg"/>
          <w:szCs w:val="22"/>
        </w:rPr>
        <w:t xml:space="preserve">Konto 63425 – sredstva primljena od Fonda za zaštitu okoliša temeljem refundacije 15% prihvatljivih troškova po projektu Novo ruho Brijuna u iznosu od 1.755.631,07 kn </w:t>
      </w:r>
    </w:p>
    <w:p w14:paraId="17E85066" w14:textId="77777777" w:rsidR="001B3DD7" w:rsidRPr="00075F3F" w:rsidRDefault="001B3DD7" w:rsidP="001B3DD7">
      <w:pPr>
        <w:pStyle w:val="ListParagraph"/>
        <w:numPr>
          <w:ilvl w:val="0"/>
          <w:numId w:val="33"/>
        </w:numPr>
        <w:jc w:val="both"/>
        <w:rPr>
          <w:rFonts w:ascii="TyponineSans Reg" w:hAnsi="TyponineSans Reg"/>
          <w:szCs w:val="22"/>
        </w:rPr>
      </w:pPr>
      <w:r w:rsidRPr="00075F3F">
        <w:rPr>
          <w:rFonts w:ascii="TyponineSans Reg" w:hAnsi="TyponineSans Reg"/>
          <w:szCs w:val="22"/>
        </w:rPr>
        <w:t>Konto 66321 – Kapitalne donacije od fizičkih osoba u ukupnom iznosu od 8.444,16 kn  koji se odnosi na donirane replike slika, donaciju za nabavku opeme za golf te donaciju osnovnog stada</w:t>
      </w:r>
    </w:p>
    <w:p w14:paraId="46612362" w14:textId="77777777" w:rsidR="001B3DD7" w:rsidRPr="00075F3F" w:rsidRDefault="001B3DD7" w:rsidP="001B3DD7">
      <w:pPr>
        <w:pStyle w:val="ListParagraph"/>
        <w:numPr>
          <w:ilvl w:val="0"/>
          <w:numId w:val="33"/>
        </w:numPr>
        <w:jc w:val="both"/>
        <w:rPr>
          <w:rFonts w:ascii="TyponineSans Reg" w:hAnsi="TyponineSans Reg"/>
          <w:szCs w:val="22"/>
        </w:rPr>
      </w:pPr>
      <w:r w:rsidRPr="00075F3F">
        <w:rPr>
          <w:rFonts w:ascii="TyponineSans Reg" w:hAnsi="TyponineSans Reg"/>
          <w:szCs w:val="22"/>
        </w:rPr>
        <w:t>Konto 66323 – kapitalne donacije od trgovačkih društava u iznosu od 299.468,75 kn od čega se iznos o</w:t>
      </w:r>
      <w:r>
        <w:rPr>
          <w:rFonts w:ascii="TyponineSans Reg" w:hAnsi="TyponineSans Reg"/>
          <w:szCs w:val="22"/>
        </w:rPr>
        <w:t xml:space="preserve">d </w:t>
      </w:r>
      <w:r w:rsidRPr="00075F3F">
        <w:rPr>
          <w:rFonts w:ascii="TyponineSans Reg" w:hAnsi="TyponineSans Reg"/>
          <w:szCs w:val="22"/>
        </w:rPr>
        <w:t xml:space="preserve">8.000 kn </w:t>
      </w:r>
      <w:r>
        <w:rPr>
          <w:rFonts w:ascii="TyponineSans Reg" w:hAnsi="TyponineSans Reg"/>
          <w:szCs w:val="22"/>
        </w:rPr>
        <w:t>odnosi na</w:t>
      </w:r>
      <w:r w:rsidRPr="00075F3F">
        <w:rPr>
          <w:rFonts w:ascii="TyponineSans Reg" w:hAnsi="TyponineSans Reg"/>
          <w:szCs w:val="22"/>
        </w:rPr>
        <w:t xml:space="preserve"> donaciju psa vodića i 291.458,75 kn na doniran namještaj</w:t>
      </w:r>
    </w:p>
    <w:p w14:paraId="179747A3" w14:textId="77777777" w:rsidR="001B3DD7" w:rsidRPr="00075F3F" w:rsidRDefault="001B3DD7" w:rsidP="001B3DD7">
      <w:pPr>
        <w:pStyle w:val="ListParagraph"/>
        <w:numPr>
          <w:ilvl w:val="0"/>
          <w:numId w:val="33"/>
        </w:numPr>
        <w:jc w:val="both"/>
        <w:rPr>
          <w:rFonts w:ascii="TyponineSans Reg" w:hAnsi="TyponineSans Reg"/>
          <w:szCs w:val="22"/>
        </w:rPr>
      </w:pPr>
      <w:r w:rsidRPr="00075F3F">
        <w:rPr>
          <w:rFonts w:ascii="TyponineSans Reg" w:hAnsi="TyponineSans Reg"/>
          <w:szCs w:val="22"/>
        </w:rPr>
        <w:t>Konto 66324 – ostale kapitalne donacije u iznosu od 4.000 kn koje se odnose na doniranu računalnu opremu</w:t>
      </w:r>
    </w:p>
    <w:p w14:paraId="21A3F44F" w14:textId="77777777" w:rsidR="001B3DD7" w:rsidRPr="00075F3F" w:rsidRDefault="001B3DD7" w:rsidP="001B3DD7">
      <w:pPr>
        <w:pStyle w:val="ListParagraph"/>
        <w:ind w:left="720"/>
        <w:jc w:val="both"/>
        <w:rPr>
          <w:rFonts w:ascii="TyponineSans Reg" w:hAnsi="TyponineSans Reg"/>
          <w:szCs w:val="22"/>
        </w:rPr>
      </w:pPr>
    </w:p>
    <w:p w14:paraId="29E0481A" w14:textId="77777777" w:rsidR="001B3DD7" w:rsidRPr="00075F3F" w:rsidRDefault="001B3DD7" w:rsidP="001B3DD7">
      <w:pPr>
        <w:jc w:val="both"/>
        <w:rPr>
          <w:rFonts w:ascii="TyponineSans Reg" w:hAnsi="TyponineSans Reg"/>
          <w:szCs w:val="22"/>
        </w:rPr>
      </w:pPr>
    </w:p>
    <w:p w14:paraId="1C3AD946" w14:textId="77777777" w:rsidR="001B3DD7" w:rsidRPr="009928CF" w:rsidRDefault="001B3DD7" w:rsidP="001B3DD7">
      <w:pPr>
        <w:jc w:val="both"/>
        <w:rPr>
          <w:rFonts w:ascii="TyponineSans Reg" w:hAnsi="TyponineSans Reg"/>
          <w:szCs w:val="22"/>
        </w:rPr>
      </w:pPr>
      <w:r w:rsidRPr="009928CF">
        <w:rPr>
          <w:rFonts w:ascii="TyponineSans Reg" w:hAnsi="TyponineSans Reg"/>
          <w:szCs w:val="22"/>
        </w:rPr>
        <w:t xml:space="preserve">Ukupno ostvaren pozitivan rezultat od poslovanja, a prije knjiženja kapitalnih korekcija, u iznosu od 31.281.830,26 kn  znatno je bolji od rezultata poslovanja prethodne godine kada je on bio negativan u iznosu od  3.277.974,45 kn. Tako značajan porast ostvarenog  rezultata od poslovanja tekuće godine  rezultat je prije svega znatnog povećanja ostvarenih  prihoda od pruženih usluga hotelijerstva i izletničkih usluga u odnosu na prethodnu godinu kada je pandemija uzrokovana virusom Covid 19 uvjetovala višemjesečno  zatvaranje hotela i ugostiteljskih objekata kao i smanjenje mogućnosti posjećivanja Nacionalnog parka tijekom cijele godine, zatim primitka značajnih sredstava temeljem refundacije troškova za račune plaćene krajem 2020. godine za projekt „Novo ruho Brijuna“,  te svakako i primitak značajnih sredstava primljenih od nadležnog ministarstva za pokriće dijela troškova plaća i materijalnih troškova utrošenih za redovno poslovanje Ustanove.  </w:t>
      </w:r>
    </w:p>
    <w:p w14:paraId="18AE2561" w14:textId="77777777" w:rsidR="001B3DD7" w:rsidRPr="00486643" w:rsidRDefault="001B3DD7" w:rsidP="001B3DD7">
      <w:pPr>
        <w:jc w:val="both"/>
        <w:rPr>
          <w:rFonts w:ascii="TyponineSans Reg" w:hAnsi="TyponineSans Reg"/>
          <w:b/>
          <w:color w:val="0070C0"/>
          <w:szCs w:val="22"/>
        </w:rPr>
      </w:pPr>
    </w:p>
    <w:p w14:paraId="2EEF8154" w14:textId="77777777" w:rsidR="001B3DD7" w:rsidRPr="004C7D36" w:rsidRDefault="001B3DD7" w:rsidP="001B3DD7">
      <w:pPr>
        <w:jc w:val="both"/>
        <w:rPr>
          <w:rFonts w:ascii="TyponineSans Reg" w:hAnsi="TyponineSans Reg"/>
          <w:b/>
          <w:sz w:val="24"/>
          <w:szCs w:val="24"/>
        </w:rPr>
      </w:pPr>
      <w:r w:rsidRPr="004C7D36">
        <w:rPr>
          <w:rFonts w:ascii="TyponineSans Reg" w:hAnsi="TyponineSans Reg"/>
          <w:b/>
          <w:sz w:val="24"/>
          <w:szCs w:val="24"/>
        </w:rPr>
        <w:t>AOP 253 / AOP 254</w:t>
      </w:r>
    </w:p>
    <w:p w14:paraId="35412EC9" w14:textId="77777777" w:rsidR="001B3DD7" w:rsidRPr="004C7D36" w:rsidRDefault="001B3DD7" w:rsidP="001B3DD7">
      <w:pPr>
        <w:jc w:val="both"/>
        <w:rPr>
          <w:rFonts w:ascii="TyponineSans Reg" w:hAnsi="TyponineSans Reg"/>
          <w:b/>
          <w:sz w:val="24"/>
          <w:szCs w:val="24"/>
        </w:rPr>
      </w:pPr>
      <w:r w:rsidRPr="004C7D36">
        <w:rPr>
          <w:rFonts w:ascii="TyponineSans Reg" w:hAnsi="TyponineSans Reg"/>
          <w:b/>
          <w:sz w:val="24"/>
          <w:szCs w:val="24"/>
        </w:rPr>
        <w:t>Izvanbilančna aktiva/pasiva</w:t>
      </w:r>
    </w:p>
    <w:p w14:paraId="20ACA27F" w14:textId="77777777" w:rsidR="001B3DD7" w:rsidRPr="004C7D36" w:rsidRDefault="001B3DD7" w:rsidP="001B3DD7">
      <w:pPr>
        <w:jc w:val="both"/>
        <w:rPr>
          <w:rFonts w:ascii="TyponineSans Reg" w:hAnsi="TyponineSans Reg"/>
          <w:b/>
          <w:sz w:val="24"/>
          <w:szCs w:val="24"/>
        </w:rPr>
      </w:pPr>
    </w:p>
    <w:p w14:paraId="19E2B4EF" w14:textId="77777777" w:rsidR="001B3DD7" w:rsidRPr="00CC0341" w:rsidRDefault="001B3DD7" w:rsidP="001B3DD7">
      <w:pPr>
        <w:jc w:val="both"/>
        <w:rPr>
          <w:rFonts w:ascii="TyponineSans Reg" w:hAnsi="TyponineSans Reg"/>
          <w:szCs w:val="22"/>
        </w:rPr>
      </w:pPr>
      <w:r w:rsidRPr="00CC0341">
        <w:rPr>
          <w:rFonts w:ascii="TyponineSans Reg" w:hAnsi="TyponineSans Reg"/>
          <w:szCs w:val="22"/>
        </w:rPr>
        <w:t>Ukupna vrijednost izvanbilančnih stavki Ustanove na dan 31.12.2021. godine iznosi 124.082 kn i odnosi se na slijedeće stavke:</w:t>
      </w:r>
    </w:p>
    <w:p w14:paraId="294403A7" w14:textId="77777777" w:rsidR="001B3DD7" w:rsidRPr="00CC0341" w:rsidRDefault="001B3DD7" w:rsidP="001B3DD7">
      <w:pPr>
        <w:ind w:left="720"/>
        <w:jc w:val="both"/>
        <w:rPr>
          <w:rFonts w:ascii="TyponineSans Reg" w:hAnsi="TyponineSans Reg"/>
          <w:szCs w:val="22"/>
        </w:rPr>
      </w:pPr>
    </w:p>
    <w:p w14:paraId="314CD471" w14:textId="77777777" w:rsidR="001B3DD7" w:rsidRPr="00CC0341" w:rsidRDefault="001B3DD7" w:rsidP="001B3DD7">
      <w:pPr>
        <w:numPr>
          <w:ilvl w:val="0"/>
          <w:numId w:val="34"/>
        </w:numPr>
        <w:jc w:val="both"/>
        <w:rPr>
          <w:rFonts w:ascii="TyponineSans Reg" w:hAnsi="TyponineSans Reg"/>
          <w:szCs w:val="22"/>
        </w:rPr>
      </w:pPr>
      <w:r w:rsidRPr="00CC0341">
        <w:rPr>
          <w:rFonts w:ascii="TyponineSans Reg" w:hAnsi="TyponineSans Reg"/>
          <w:szCs w:val="22"/>
        </w:rPr>
        <w:t>tuđa imovina na korištenju u ukupnom iznosu od 113.082 kn</w:t>
      </w:r>
    </w:p>
    <w:p w14:paraId="6B7EC46C" w14:textId="77777777" w:rsidR="001B3DD7" w:rsidRPr="00CC0341" w:rsidRDefault="001B3DD7" w:rsidP="001B3DD7">
      <w:pPr>
        <w:numPr>
          <w:ilvl w:val="0"/>
          <w:numId w:val="34"/>
        </w:numPr>
        <w:jc w:val="both"/>
        <w:rPr>
          <w:rFonts w:ascii="TyponineSans Reg" w:hAnsi="TyponineSans Reg"/>
          <w:szCs w:val="22"/>
        </w:rPr>
      </w:pPr>
      <w:r w:rsidRPr="00CC0341">
        <w:rPr>
          <w:rFonts w:ascii="TyponineSans Reg" w:hAnsi="TyponineSans Reg"/>
          <w:szCs w:val="22"/>
        </w:rPr>
        <w:t xml:space="preserve">ukupna vrijednost sporova koje vodi Ustanova u ukupnom iznosu od 11.000 kn. </w:t>
      </w:r>
    </w:p>
    <w:p w14:paraId="7942471C" w14:textId="77777777" w:rsidR="001B3DD7" w:rsidRPr="00CC0341" w:rsidRDefault="001B3DD7" w:rsidP="001B3DD7">
      <w:pPr>
        <w:ind w:left="720"/>
        <w:jc w:val="both"/>
        <w:rPr>
          <w:rFonts w:ascii="TyponineSans Reg" w:hAnsi="TyponineSans Reg"/>
          <w:szCs w:val="22"/>
        </w:rPr>
      </w:pPr>
    </w:p>
    <w:p w14:paraId="7EAF0251" w14:textId="77777777" w:rsidR="001B3DD7" w:rsidRPr="00CC0341" w:rsidRDefault="001B3DD7" w:rsidP="001B3DD7">
      <w:pPr>
        <w:jc w:val="both"/>
        <w:rPr>
          <w:rFonts w:ascii="TyponineSans Reg" w:hAnsi="TyponineSans Reg"/>
          <w:szCs w:val="22"/>
        </w:rPr>
      </w:pPr>
      <w:r w:rsidRPr="00CC0341">
        <w:rPr>
          <w:rFonts w:ascii="TyponineSans Reg" w:hAnsi="TyponineSans Reg"/>
          <w:szCs w:val="22"/>
        </w:rPr>
        <w:t xml:space="preserve">Pojedinačna vrijednost potencijalnih obveza po osnovi sudskih  sporova evidentirana </w:t>
      </w:r>
      <w:r>
        <w:rPr>
          <w:rFonts w:ascii="TyponineSans Reg" w:hAnsi="TyponineSans Reg"/>
          <w:szCs w:val="22"/>
        </w:rPr>
        <w:t xml:space="preserve">je </w:t>
      </w:r>
      <w:r w:rsidRPr="00CC0341">
        <w:rPr>
          <w:rFonts w:ascii="TyponineSans Reg" w:hAnsi="TyponineSans Reg"/>
          <w:szCs w:val="22"/>
        </w:rPr>
        <w:t>na kontu 9915 i odnosi se na spor u iznosu od 11.000 kuna koji je pokrenuo bivši djelatnih  Ustanove.</w:t>
      </w:r>
    </w:p>
    <w:p w14:paraId="1AF8D517" w14:textId="77777777" w:rsidR="001B3DD7" w:rsidRPr="00486643" w:rsidRDefault="001B3DD7" w:rsidP="001B3DD7">
      <w:pPr>
        <w:jc w:val="both"/>
        <w:rPr>
          <w:rFonts w:ascii="TyponineSans Reg" w:hAnsi="TyponineSans Reg"/>
          <w:color w:val="0070C0"/>
          <w:szCs w:val="22"/>
        </w:rPr>
      </w:pPr>
    </w:p>
    <w:p w14:paraId="571389FA" w14:textId="77777777" w:rsidR="001B3DD7" w:rsidRPr="00486643" w:rsidRDefault="001B3DD7" w:rsidP="001B3DD7">
      <w:pPr>
        <w:jc w:val="both"/>
        <w:rPr>
          <w:rFonts w:ascii="TyponineSans Reg" w:hAnsi="TyponineSans Reg"/>
          <w:color w:val="0070C0"/>
          <w:szCs w:val="22"/>
        </w:rPr>
      </w:pPr>
    </w:p>
    <w:p w14:paraId="7BB73EFD" w14:textId="77777777" w:rsidR="005A54F2" w:rsidRDefault="005A54F2" w:rsidP="001B3DD7">
      <w:pPr>
        <w:jc w:val="both"/>
        <w:rPr>
          <w:rFonts w:ascii="TyponineSans Reg" w:hAnsi="TyponineSans Reg"/>
          <w:szCs w:val="22"/>
        </w:rPr>
      </w:pPr>
    </w:p>
    <w:p w14:paraId="23A1259F" w14:textId="1D485A27" w:rsidR="001B3DD7" w:rsidRPr="00CC0341" w:rsidRDefault="001B3DD7" w:rsidP="001B3DD7">
      <w:pPr>
        <w:jc w:val="both"/>
        <w:rPr>
          <w:rFonts w:ascii="TyponineSans Reg" w:hAnsi="TyponineSans Reg"/>
          <w:szCs w:val="22"/>
        </w:rPr>
      </w:pPr>
      <w:r w:rsidRPr="00CC0341">
        <w:rPr>
          <w:rFonts w:ascii="TyponineSans Reg" w:hAnsi="TyponineSans Reg"/>
          <w:szCs w:val="22"/>
        </w:rPr>
        <w:t>Potencijalne obveze po osnovi sudskih sporova:</w:t>
      </w:r>
    </w:p>
    <w:p w14:paraId="782D0A84" w14:textId="77777777" w:rsidR="001B3DD7" w:rsidRPr="00486643" w:rsidRDefault="001B3DD7" w:rsidP="001B3DD7">
      <w:pPr>
        <w:jc w:val="both"/>
        <w:rPr>
          <w:rFonts w:ascii="TyponineSans Reg" w:hAnsi="TyponineSans Reg"/>
          <w:color w:val="0070C0"/>
          <w:szCs w:val="22"/>
        </w:rPr>
      </w:pPr>
    </w:p>
    <w:p w14:paraId="72F96E46" w14:textId="77777777" w:rsidR="001B3DD7" w:rsidRPr="00486643" w:rsidRDefault="001B3DD7" w:rsidP="001B3DD7">
      <w:pPr>
        <w:jc w:val="both"/>
        <w:rPr>
          <w:rFonts w:ascii="TyponineSans Reg" w:hAnsi="TyponineSans Reg"/>
          <w:color w:val="0070C0"/>
          <w:szCs w:val="22"/>
        </w:rPr>
      </w:pPr>
      <w:r w:rsidRPr="00CC0341">
        <w:drawing>
          <wp:inline distT="0" distB="0" distL="0" distR="0" wp14:anchorId="0540F40E" wp14:editId="27DF7549">
            <wp:extent cx="5760720" cy="1401445"/>
            <wp:effectExtent l="0" t="0" r="0" b="825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60720" cy="1401445"/>
                    </a:xfrm>
                    <a:prstGeom prst="rect">
                      <a:avLst/>
                    </a:prstGeom>
                    <a:noFill/>
                    <a:ln>
                      <a:noFill/>
                    </a:ln>
                  </pic:spPr>
                </pic:pic>
              </a:graphicData>
            </a:graphic>
          </wp:inline>
        </w:drawing>
      </w:r>
    </w:p>
    <w:p w14:paraId="66086B3D" w14:textId="77777777" w:rsidR="001B3DD7" w:rsidRPr="00486643" w:rsidRDefault="001B3DD7" w:rsidP="001B3DD7">
      <w:pPr>
        <w:jc w:val="both"/>
        <w:rPr>
          <w:rFonts w:ascii="TyponineSans Reg" w:hAnsi="TyponineSans Reg"/>
          <w:color w:val="0070C0"/>
          <w:szCs w:val="22"/>
        </w:rPr>
      </w:pPr>
    </w:p>
    <w:p w14:paraId="6C06EE15" w14:textId="77777777" w:rsidR="001B3DD7" w:rsidRPr="00CC0341" w:rsidRDefault="001B3DD7" w:rsidP="001B3DD7">
      <w:pPr>
        <w:jc w:val="both"/>
        <w:rPr>
          <w:rFonts w:ascii="TyponineSans Reg" w:hAnsi="TyponineSans Reg"/>
          <w:szCs w:val="22"/>
        </w:rPr>
      </w:pPr>
      <w:r w:rsidRPr="00CC0341">
        <w:rPr>
          <w:rFonts w:ascii="TyponineSans Reg" w:hAnsi="TyponineSans Reg"/>
          <w:szCs w:val="22"/>
        </w:rPr>
        <w:t>Iskazane potencijalne obveze u prethodnoj godini po osnovi sudskog spora u iznosu od 25.000 kn, a</w:t>
      </w:r>
      <w:r>
        <w:rPr>
          <w:rFonts w:ascii="TyponineSans Reg" w:hAnsi="TyponineSans Reg"/>
          <w:szCs w:val="22"/>
        </w:rPr>
        <w:t xml:space="preserve"> </w:t>
      </w:r>
      <w:r w:rsidRPr="00CC0341">
        <w:rPr>
          <w:rFonts w:ascii="TyponineSans Reg" w:hAnsi="TyponineSans Reg"/>
          <w:szCs w:val="22"/>
        </w:rPr>
        <w:t>koj</w:t>
      </w:r>
      <w:r>
        <w:rPr>
          <w:rFonts w:ascii="TyponineSans Reg" w:hAnsi="TyponineSans Reg"/>
          <w:szCs w:val="22"/>
        </w:rPr>
        <w:t>i</w:t>
      </w:r>
      <w:r w:rsidRPr="00CC0341">
        <w:rPr>
          <w:rFonts w:ascii="TyponineSans Reg" w:hAnsi="TyponineSans Reg"/>
          <w:szCs w:val="22"/>
        </w:rPr>
        <w:t xml:space="preserve"> se odnosi</w:t>
      </w:r>
      <w:r>
        <w:rPr>
          <w:rFonts w:ascii="TyponineSans Reg" w:hAnsi="TyponineSans Reg"/>
          <w:szCs w:val="22"/>
        </w:rPr>
        <w:t>o</w:t>
      </w:r>
      <w:r w:rsidRPr="00CC0341">
        <w:rPr>
          <w:rFonts w:ascii="TyponineSans Reg" w:hAnsi="TyponineSans Reg"/>
          <w:szCs w:val="22"/>
        </w:rPr>
        <w:t xml:space="preserve"> na sudski spor </w:t>
      </w:r>
      <w:r>
        <w:rPr>
          <w:rFonts w:ascii="TyponineSans Reg" w:hAnsi="TyponineSans Reg"/>
          <w:szCs w:val="22"/>
        </w:rPr>
        <w:t xml:space="preserve">kojim je </w:t>
      </w:r>
      <w:r w:rsidRPr="00CC0341">
        <w:rPr>
          <w:rFonts w:ascii="TyponineSans Reg" w:hAnsi="TyponineSans Reg"/>
          <w:szCs w:val="22"/>
        </w:rPr>
        <w:t xml:space="preserve"> bivši djelatnik</w:t>
      </w:r>
      <w:r>
        <w:rPr>
          <w:rFonts w:ascii="TyponineSans Reg" w:hAnsi="TyponineSans Reg"/>
          <w:szCs w:val="22"/>
        </w:rPr>
        <w:t xml:space="preserve"> teretio Ustanovu</w:t>
      </w:r>
      <w:r w:rsidRPr="00CC0341">
        <w:rPr>
          <w:rFonts w:ascii="TyponineSans Reg" w:hAnsi="TyponineSans Reg"/>
          <w:szCs w:val="22"/>
        </w:rPr>
        <w:t xml:space="preserve"> vezano za nastalu ozljedu na radu isknjižen</w:t>
      </w:r>
      <w:r>
        <w:rPr>
          <w:rFonts w:ascii="TyponineSans Reg" w:hAnsi="TyponineSans Reg"/>
          <w:szCs w:val="22"/>
        </w:rPr>
        <w:t>e</w:t>
      </w:r>
      <w:r w:rsidRPr="00CC0341">
        <w:rPr>
          <w:rFonts w:ascii="TyponineSans Reg" w:hAnsi="TyponineSans Reg"/>
          <w:szCs w:val="22"/>
        </w:rPr>
        <w:t xml:space="preserve"> </w:t>
      </w:r>
      <w:r>
        <w:rPr>
          <w:rFonts w:ascii="TyponineSans Reg" w:hAnsi="TyponineSans Reg"/>
          <w:szCs w:val="22"/>
        </w:rPr>
        <w:t xml:space="preserve">su </w:t>
      </w:r>
      <w:r w:rsidRPr="00CC0341">
        <w:rPr>
          <w:rFonts w:ascii="TyponineSans Reg" w:hAnsi="TyponineSans Reg"/>
          <w:szCs w:val="22"/>
        </w:rPr>
        <w:t xml:space="preserve">iz poslovnih knjiga budući je isti obustavljen. </w:t>
      </w:r>
    </w:p>
    <w:p w14:paraId="60E87D2F" w14:textId="77777777" w:rsidR="001B3DD7" w:rsidRPr="00CC0341" w:rsidRDefault="001B3DD7" w:rsidP="001B3DD7">
      <w:pPr>
        <w:jc w:val="both"/>
        <w:rPr>
          <w:rFonts w:ascii="TyponineSans Reg" w:hAnsi="TyponineSans Reg"/>
          <w:szCs w:val="22"/>
        </w:rPr>
      </w:pPr>
    </w:p>
    <w:p w14:paraId="52176118" w14:textId="77777777" w:rsidR="001B3DD7" w:rsidRPr="009928CF" w:rsidRDefault="001B3DD7" w:rsidP="001B3DD7">
      <w:pPr>
        <w:jc w:val="both"/>
        <w:rPr>
          <w:rFonts w:ascii="TyponineSans Reg" w:hAnsi="TyponineSans Reg"/>
          <w:szCs w:val="22"/>
        </w:rPr>
      </w:pPr>
      <w:r w:rsidRPr="009928CF">
        <w:rPr>
          <w:rFonts w:ascii="TyponineSans Reg" w:hAnsi="TyponineSans Reg"/>
          <w:szCs w:val="22"/>
        </w:rPr>
        <w:t xml:space="preserve">Osim ugovora iz redovnog poslovanja sa kupcima i dobavljačima i po osnovu toga primljenih garancija plaćanja Ustanova nema </w:t>
      </w:r>
      <w:bookmarkStart w:id="5" w:name="_Hlk62568615"/>
      <w:r w:rsidRPr="009928CF">
        <w:rPr>
          <w:rFonts w:ascii="TyponineSans Reg" w:hAnsi="TyponineSans Reg"/>
          <w:szCs w:val="22"/>
        </w:rPr>
        <w:t xml:space="preserve">evidentirani dodatnih ugovornih odnosa koji uz ispunjenje određenih uvjeta mogu postati obveza ili imovina kao što su dana kreditna pisma, hipoteke i slično i koji bi kao takvi bili evidentirani u izvanbilančnoj evidenciji. </w:t>
      </w:r>
    </w:p>
    <w:p w14:paraId="78A65F9B" w14:textId="77777777" w:rsidR="001B3DD7" w:rsidRPr="009928CF" w:rsidRDefault="001B3DD7" w:rsidP="001B3DD7">
      <w:pPr>
        <w:jc w:val="both"/>
        <w:rPr>
          <w:rFonts w:ascii="TyponineSans Reg" w:hAnsi="TyponineSans Reg"/>
          <w:szCs w:val="22"/>
        </w:rPr>
      </w:pPr>
    </w:p>
    <w:p w14:paraId="21AEC515" w14:textId="3FF87249" w:rsidR="001B3DD7" w:rsidRDefault="001B3DD7" w:rsidP="001B3DD7">
      <w:pPr>
        <w:jc w:val="both"/>
        <w:rPr>
          <w:rFonts w:ascii="TyponineSans Reg" w:hAnsi="TyponineSans Reg"/>
          <w:color w:val="FF0000"/>
          <w:szCs w:val="22"/>
        </w:rPr>
      </w:pPr>
    </w:p>
    <w:p w14:paraId="39453675" w14:textId="77777777" w:rsidR="005A54F2" w:rsidRPr="00CC0341" w:rsidRDefault="005A54F2" w:rsidP="001B3DD7">
      <w:pPr>
        <w:jc w:val="both"/>
        <w:rPr>
          <w:rFonts w:ascii="TyponineSans Reg" w:hAnsi="TyponineSans Reg"/>
          <w:color w:val="FF0000"/>
          <w:szCs w:val="22"/>
        </w:rPr>
      </w:pPr>
    </w:p>
    <w:bookmarkEnd w:id="5"/>
    <w:p w14:paraId="48CB6F33" w14:textId="77777777" w:rsidR="001B3DD7" w:rsidRPr="00486643" w:rsidRDefault="001B3DD7" w:rsidP="001B3DD7">
      <w:pPr>
        <w:jc w:val="both"/>
        <w:rPr>
          <w:rFonts w:ascii="TyponineSans Reg" w:hAnsi="TyponineSans Reg"/>
          <w:b/>
          <w:color w:val="0070C0"/>
          <w:sz w:val="24"/>
          <w:szCs w:val="24"/>
        </w:rPr>
      </w:pPr>
    </w:p>
    <w:p w14:paraId="3F75D6B0" w14:textId="77777777" w:rsidR="001B3DD7" w:rsidRPr="0091498E" w:rsidRDefault="001B3DD7" w:rsidP="001B3DD7">
      <w:pPr>
        <w:jc w:val="both"/>
        <w:rPr>
          <w:rFonts w:ascii="TyponineSans Reg" w:hAnsi="TyponineSans Reg"/>
          <w:b/>
          <w:sz w:val="24"/>
          <w:szCs w:val="24"/>
          <w:bdr w:val="single" w:sz="4" w:space="0" w:color="auto"/>
        </w:rPr>
      </w:pPr>
      <w:r w:rsidRPr="0091498E">
        <w:rPr>
          <w:rFonts w:ascii="TyponineSans Reg" w:hAnsi="TyponineSans Reg"/>
          <w:b/>
          <w:sz w:val="24"/>
          <w:szCs w:val="24"/>
          <w:bdr w:val="single" w:sz="4" w:space="0" w:color="auto"/>
        </w:rPr>
        <w:t xml:space="preserve">Bilješka br. 4.:  Bilješke uz Izvještaj o promjenama u vrijednosti i obujmu imovine </w:t>
      </w:r>
    </w:p>
    <w:p w14:paraId="26B9EBA4" w14:textId="77777777" w:rsidR="001B3DD7" w:rsidRPr="0091498E" w:rsidRDefault="001B3DD7" w:rsidP="001B3DD7">
      <w:pPr>
        <w:jc w:val="both"/>
        <w:rPr>
          <w:rFonts w:ascii="TyponineSans Reg" w:hAnsi="TyponineSans Reg"/>
          <w:b/>
          <w:sz w:val="26"/>
          <w:szCs w:val="26"/>
        </w:rPr>
      </w:pPr>
    </w:p>
    <w:p w14:paraId="4591B3EA" w14:textId="73E5155F" w:rsidR="001B3DD7" w:rsidRPr="0091498E" w:rsidRDefault="001B3DD7" w:rsidP="001B3DD7">
      <w:pPr>
        <w:jc w:val="both"/>
        <w:rPr>
          <w:rFonts w:ascii="TyponineSans Reg" w:hAnsi="TyponineSans Reg"/>
          <w:szCs w:val="22"/>
        </w:rPr>
      </w:pPr>
      <w:r w:rsidRPr="0091498E">
        <w:rPr>
          <w:rFonts w:ascii="TyponineSans Reg" w:hAnsi="TyponineSans Reg"/>
          <w:szCs w:val="22"/>
        </w:rPr>
        <w:t xml:space="preserve">U Izvještaju o promjenama u vrijednosti i obujmu imovine na AOP-u 021 iskazan je saldo promjena na imovini Ustanove u iznosu od </w:t>
      </w:r>
      <w:r w:rsidR="00A01F78">
        <w:rPr>
          <w:rFonts w:ascii="TyponineSans Reg" w:hAnsi="TyponineSans Reg"/>
          <w:szCs w:val="22"/>
        </w:rPr>
        <w:t>1</w:t>
      </w:r>
      <w:r w:rsidR="00C877CA">
        <w:rPr>
          <w:rFonts w:ascii="TyponineSans Reg" w:hAnsi="TyponineSans Reg"/>
          <w:szCs w:val="22"/>
        </w:rPr>
        <w:t>.</w:t>
      </w:r>
      <w:r w:rsidR="00A01F78">
        <w:rPr>
          <w:rFonts w:ascii="TyponineSans Reg" w:hAnsi="TyponineSans Reg"/>
          <w:szCs w:val="22"/>
        </w:rPr>
        <w:t>953</w:t>
      </w:r>
      <w:r w:rsidRPr="0091498E">
        <w:rPr>
          <w:rFonts w:ascii="TyponineSans Reg" w:hAnsi="TyponineSans Reg"/>
          <w:szCs w:val="22"/>
        </w:rPr>
        <w:t>.</w:t>
      </w:r>
      <w:r w:rsidR="00A01F78">
        <w:rPr>
          <w:rFonts w:ascii="TyponineSans Reg" w:hAnsi="TyponineSans Reg"/>
          <w:szCs w:val="22"/>
        </w:rPr>
        <w:t>496</w:t>
      </w:r>
      <w:r w:rsidRPr="0091498E">
        <w:rPr>
          <w:rFonts w:ascii="TyponineSans Reg" w:hAnsi="TyponineSans Reg"/>
          <w:szCs w:val="22"/>
        </w:rPr>
        <w:t xml:space="preserve"> kn koji se odnosi na:</w:t>
      </w:r>
    </w:p>
    <w:p w14:paraId="01B000D6" w14:textId="77777777" w:rsidR="001B3DD7" w:rsidRPr="0091498E" w:rsidRDefault="001B3DD7" w:rsidP="001B3DD7">
      <w:pPr>
        <w:jc w:val="both"/>
        <w:rPr>
          <w:rFonts w:ascii="TyponineSans Reg" w:hAnsi="TyponineSans Reg"/>
          <w:szCs w:val="22"/>
        </w:rPr>
      </w:pPr>
    </w:p>
    <w:p w14:paraId="7EB2881A" w14:textId="44CE0977" w:rsidR="00A01F78" w:rsidRDefault="00A01F78" w:rsidP="001B3DD7">
      <w:pPr>
        <w:numPr>
          <w:ilvl w:val="0"/>
          <w:numId w:val="36"/>
        </w:numPr>
        <w:jc w:val="both"/>
        <w:rPr>
          <w:rFonts w:ascii="TyponineSans Reg" w:hAnsi="TyponineSans Reg"/>
          <w:szCs w:val="22"/>
        </w:rPr>
      </w:pPr>
      <w:r>
        <w:rPr>
          <w:rFonts w:ascii="TyponineSans Reg" w:hAnsi="TyponineSans Reg"/>
          <w:szCs w:val="22"/>
        </w:rPr>
        <w:t xml:space="preserve">povećanje vrijednosti imovine u iznosu od 1.762.500 kn koji se odnosi na uknjiženu motornu brodicu temeljem Ugovora o prijenosu vlasništva brodice te zapisnika o primopredaji iste kojim je nadležno Ministarstvo gospodarstva i održivog razvoja </w:t>
      </w:r>
      <w:r w:rsidR="00C877CA">
        <w:rPr>
          <w:rFonts w:ascii="TyponineSans Reg" w:hAnsi="TyponineSans Reg"/>
          <w:szCs w:val="22"/>
        </w:rPr>
        <w:t xml:space="preserve">prenijelo vlašništvo brodice </w:t>
      </w:r>
      <w:r>
        <w:rPr>
          <w:rFonts w:ascii="TyponineSans Reg" w:hAnsi="TyponineSans Reg"/>
          <w:szCs w:val="22"/>
        </w:rPr>
        <w:t>Ustanovi</w:t>
      </w:r>
      <w:r w:rsidR="00C877CA">
        <w:rPr>
          <w:rFonts w:ascii="TyponineSans Reg" w:hAnsi="TyponineSans Reg"/>
          <w:szCs w:val="22"/>
        </w:rPr>
        <w:t xml:space="preserve"> u svrhu </w:t>
      </w:r>
      <w:r w:rsidR="00760FDE">
        <w:rPr>
          <w:rFonts w:ascii="TyponineSans Reg" w:hAnsi="TyponineSans Reg"/>
          <w:szCs w:val="22"/>
        </w:rPr>
        <w:t xml:space="preserve">nadzora i </w:t>
      </w:r>
      <w:r w:rsidR="00C877CA">
        <w:rPr>
          <w:rFonts w:ascii="TyponineSans Reg" w:hAnsi="TyponineSans Reg"/>
          <w:szCs w:val="22"/>
        </w:rPr>
        <w:t>upravljanja područjima EM Natura 2000</w:t>
      </w:r>
      <w:r>
        <w:rPr>
          <w:rFonts w:ascii="TyponineSans Reg" w:hAnsi="TyponineSans Reg"/>
          <w:szCs w:val="22"/>
        </w:rPr>
        <w:t xml:space="preserve"> </w:t>
      </w:r>
    </w:p>
    <w:p w14:paraId="581CC9A3" w14:textId="11016CAB" w:rsidR="001B3DD7" w:rsidRPr="0091498E" w:rsidRDefault="001B3DD7" w:rsidP="001B3DD7">
      <w:pPr>
        <w:numPr>
          <w:ilvl w:val="0"/>
          <w:numId w:val="36"/>
        </w:numPr>
        <w:jc w:val="both"/>
        <w:rPr>
          <w:rFonts w:ascii="TyponineSans Reg" w:hAnsi="TyponineSans Reg"/>
          <w:szCs w:val="22"/>
        </w:rPr>
      </w:pPr>
      <w:r w:rsidRPr="0091498E">
        <w:rPr>
          <w:rFonts w:ascii="TyponineSans Reg" w:hAnsi="TyponineSans Reg"/>
          <w:szCs w:val="22"/>
        </w:rPr>
        <w:t>povećanje odnosno prirast tijekom godine divljih životinja odnosno srna i jelena kao i životinja u safari parku u ukupnoj vrijednosti od 230.220 kn</w:t>
      </w:r>
    </w:p>
    <w:p w14:paraId="63705F63" w14:textId="77777777" w:rsidR="001B3DD7" w:rsidRPr="0091498E" w:rsidRDefault="001B3DD7" w:rsidP="001B3DD7">
      <w:pPr>
        <w:numPr>
          <w:ilvl w:val="0"/>
          <w:numId w:val="36"/>
        </w:numPr>
        <w:jc w:val="both"/>
        <w:rPr>
          <w:rFonts w:ascii="TyponineSans Reg" w:hAnsi="TyponineSans Reg"/>
          <w:szCs w:val="22"/>
        </w:rPr>
      </w:pPr>
      <w:r w:rsidRPr="0091498E">
        <w:rPr>
          <w:rFonts w:ascii="TyponineSans Reg" w:hAnsi="TyponineSans Reg"/>
          <w:szCs w:val="22"/>
        </w:rPr>
        <w:t xml:space="preserve">smanjenje vrijednosti imovine od </w:t>
      </w:r>
      <w:r>
        <w:rPr>
          <w:rFonts w:ascii="TyponineSans Reg" w:hAnsi="TyponineSans Reg"/>
          <w:szCs w:val="22"/>
        </w:rPr>
        <w:t>39.224</w:t>
      </w:r>
      <w:r w:rsidRPr="0091498E">
        <w:rPr>
          <w:rFonts w:ascii="TyponineSans Reg" w:hAnsi="TyponineSans Reg"/>
          <w:szCs w:val="22"/>
        </w:rPr>
        <w:t xml:space="preserve"> kn, a koje se odnosi na:</w:t>
      </w:r>
    </w:p>
    <w:p w14:paraId="69083C64" w14:textId="77777777" w:rsidR="001B3DD7" w:rsidRPr="0091498E" w:rsidRDefault="001B3DD7" w:rsidP="001B3DD7">
      <w:pPr>
        <w:numPr>
          <w:ilvl w:val="0"/>
          <w:numId w:val="17"/>
        </w:numPr>
        <w:jc w:val="both"/>
        <w:rPr>
          <w:rFonts w:ascii="TyponineSans Reg" w:hAnsi="TyponineSans Reg"/>
          <w:szCs w:val="22"/>
        </w:rPr>
      </w:pPr>
      <w:r w:rsidRPr="0091498E">
        <w:rPr>
          <w:rFonts w:ascii="TyponineSans Reg" w:hAnsi="TyponineSans Reg"/>
          <w:szCs w:val="22"/>
        </w:rPr>
        <w:t>preostalu sadašnju vrijednost rashodovanih sredstava dugotrajne imovine proknjiženu temeljem Elaborata o godišnjem  popisu imovine Ustanove na dan 31.12.2021. godine u vrijednosti od 38.372 kn</w:t>
      </w:r>
    </w:p>
    <w:p w14:paraId="7C01C9F3" w14:textId="77777777" w:rsidR="001B3DD7" w:rsidRPr="0091498E" w:rsidRDefault="001B3DD7" w:rsidP="001B3DD7">
      <w:pPr>
        <w:numPr>
          <w:ilvl w:val="0"/>
          <w:numId w:val="17"/>
        </w:numPr>
        <w:jc w:val="both"/>
        <w:rPr>
          <w:rFonts w:ascii="TyponineSans Reg" w:hAnsi="TyponineSans Reg"/>
          <w:szCs w:val="22"/>
        </w:rPr>
      </w:pPr>
      <w:r w:rsidRPr="0091498E">
        <w:rPr>
          <w:rFonts w:ascii="TyponineSans Reg" w:hAnsi="TyponineSans Reg"/>
          <w:szCs w:val="22"/>
        </w:rPr>
        <w:t>uginuće životinja tijekom godine u iznosu od 852 kn</w:t>
      </w:r>
    </w:p>
    <w:p w14:paraId="6BAD789E" w14:textId="77777777" w:rsidR="001B3DD7" w:rsidRPr="0091498E" w:rsidRDefault="001B3DD7" w:rsidP="001B3DD7">
      <w:pPr>
        <w:ind w:left="1740"/>
        <w:jc w:val="both"/>
        <w:rPr>
          <w:rFonts w:ascii="TyponineSans Reg" w:hAnsi="TyponineSans Reg"/>
          <w:szCs w:val="22"/>
        </w:rPr>
      </w:pPr>
    </w:p>
    <w:p w14:paraId="78F943A6" w14:textId="77777777" w:rsidR="001B3DD7" w:rsidRPr="0091498E" w:rsidRDefault="001B3DD7" w:rsidP="001B3DD7">
      <w:pPr>
        <w:jc w:val="both"/>
        <w:rPr>
          <w:rFonts w:ascii="TyponineSans Reg" w:hAnsi="TyponineSans Reg"/>
          <w:szCs w:val="22"/>
        </w:rPr>
      </w:pPr>
      <w:r w:rsidRPr="0091498E">
        <w:rPr>
          <w:rFonts w:ascii="TyponineSans Reg" w:hAnsi="TyponineSans Reg"/>
          <w:szCs w:val="22"/>
        </w:rPr>
        <w:t>Na AOP-u 023 iskazano je smanjenje vrijednosti sitnog inventara u ukupnom iznosu od 9.058 kn, a koje se odnosi na iskazani manjak po provedenoj inventuri na dan 31.12.2021. godine, te na AOP-u 032 smanjenje vrijednosti potraživanja za prihode poslovanja od 74.659 kn koje je isto tako knjiženo temeljem provedene inventure kao otpis nenaplativih potraživanja za koje je protekao rok zastare od 3 godine, a za koje se, zbog njihove premale pojedinačne vrijednosti ne isplati provesti daljnje postupke naplate.</w:t>
      </w:r>
    </w:p>
    <w:p w14:paraId="0DA53A0F" w14:textId="77777777" w:rsidR="001B3DD7" w:rsidRPr="0091498E" w:rsidRDefault="001B3DD7" w:rsidP="001B3DD7">
      <w:pPr>
        <w:jc w:val="both"/>
        <w:rPr>
          <w:rFonts w:ascii="TyponineSans Reg" w:hAnsi="TyponineSans Reg"/>
          <w:szCs w:val="22"/>
        </w:rPr>
      </w:pPr>
    </w:p>
    <w:p w14:paraId="6453F1EC" w14:textId="14F44816" w:rsidR="001B3DD7" w:rsidRDefault="001B3DD7" w:rsidP="001B3DD7">
      <w:pPr>
        <w:jc w:val="both"/>
        <w:rPr>
          <w:rFonts w:ascii="TyponineSans Reg" w:hAnsi="TyponineSans Reg"/>
          <w:b/>
          <w:color w:val="0070C0"/>
          <w:sz w:val="24"/>
          <w:szCs w:val="24"/>
          <w:bdr w:val="single" w:sz="4" w:space="0" w:color="auto"/>
        </w:rPr>
      </w:pPr>
    </w:p>
    <w:p w14:paraId="7A7E39F9" w14:textId="5782F852" w:rsidR="00A1592A" w:rsidRDefault="00A1592A" w:rsidP="001B3DD7">
      <w:pPr>
        <w:jc w:val="both"/>
        <w:rPr>
          <w:rFonts w:ascii="TyponineSans Reg" w:hAnsi="TyponineSans Reg"/>
          <w:b/>
          <w:color w:val="0070C0"/>
          <w:sz w:val="24"/>
          <w:szCs w:val="24"/>
          <w:bdr w:val="single" w:sz="4" w:space="0" w:color="auto"/>
        </w:rPr>
      </w:pPr>
    </w:p>
    <w:p w14:paraId="567D4D29" w14:textId="200602E6" w:rsidR="00A1592A" w:rsidRDefault="00A1592A" w:rsidP="001B3DD7">
      <w:pPr>
        <w:jc w:val="both"/>
        <w:rPr>
          <w:rFonts w:ascii="TyponineSans Reg" w:hAnsi="TyponineSans Reg"/>
          <w:b/>
          <w:color w:val="0070C0"/>
          <w:sz w:val="24"/>
          <w:szCs w:val="24"/>
          <w:bdr w:val="single" w:sz="4" w:space="0" w:color="auto"/>
        </w:rPr>
      </w:pPr>
    </w:p>
    <w:p w14:paraId="21AA05B4" w14:textId="12A97D32" w:rsidR="00A1592A" w:rsidRDefault="00A1592A" w:rsidP="001B3DD7">
      <w:pPr>
        <w:jc w:val="both"/>
        <w:rPr>
          <w:rFonts w:ascii="TyponineSans Reg" w:hAnsi="TyponineSans Reg"/>
          <w:b/>
          <w:color w:val="0070C0"/>
          <w:sz w:val="24"/>
          <w:szCs w:val="24"/>
          <w:bdr w:val="single" w:sz="4" w:space="0" w:color="auto"/>
        </w:rPr>
      </w:pPr>
    </w:p>
    <w:p w14:paraId="0B34A07D" w14:textId="77777777" w:rsidR="00A1592A" w:rsidRPr="00486643" w:rsidRDefault="00A1592A" w:rsidP="001B3DD7">
      <w:pPr>
        <w:jc w:val="both"/>
        <w:rPr>
          <w:rFonts w:ascii="TyponineSans Reg" w:hAnsi="TyponineSans Reg"/>
          <w:b/>
          <w:color w:val="0070C0"/>
          <w:sz w:val="24"/>
          <w:szCs w:val="24"/>
          <w:bdr w:val="single" w:sz="4" w:space="0" w:color="auto"/>
        </w:rPr>
      </w:pPr>
    </w:p>
    <w:p w14:paraId="0374D895" w14:textId="77777777" w:rsidR="001B3DD7" w:rsidRPr="00072BF0" w:rsidRDefault="001B3DD7" w:rsidP="001B3DD7">
      <w:pPr>
        <w:jc w:val="both"/>
        <w:rPr>
          <w:rFonts w:ascii="TyponineSans Reg" w:hAnsi="TyponineSans Reg"/>
          <w:b/>
          <w:sz w:val="24"/>
          <w:szCs w:val="24"/>
          <w:bdr w:val="single" w:sz="4" w:space="0" w:color="auto"/>
        </w:rPr>
      </w:pPr>
      <w:r w:rsidRPr="00072BF0">
        <w:rPr>
          <w:rFonts w:ascii="TyponineSans Reg" w:hAnsi="TyponineSans Reg"/>
          <w:b/>
          <w:sz w:val="24"/>
          <w:szCs w:val="24"/>
          <w:bdr w:val="single" w:sz="4" w:space="0" w:color="auto"/>
        </w:rPr>
        <w:t xml:space="preserve">Bilješka br. 5.:  Bilješke uz Izvještaj o obvezama </w:t>
      </w:r>
    </w:p>
    <w:p w14:paraId="34A58A8C" w14:textId="77777777" w:rsidR="001B3DD7" w:rsidRPr="00072BF0" w:rsidRDefault="001B3DD7" w:rsidP="001B3DD7">
      <w:pPr>
        <w:jc w:val="both"/>
        <w:rPr>
          <w:rFonts w:ascii="TyponineSans Reg" w:hAnsi="TyponineSans Reg"/>
          <w:b/>
          <w:sz w:val="26"/>
          <w:szCs w:val="26"/>
        </w:rPr>
      </w:pPr>
    </w:p>
    <w:p w14:paraId="4DC0DC19" w14:textId="77777777" w:rsidR="001B3DD7" w:rsidRDefault="001B3DD7" w:rsidP="001B3DD7">
      <w:pPr>
        <w:jc w:val="both"/>
        <w:rPr>
          <w:rFonts w:ascii="TyponineSans Reg" w:hAnsi="TyponineSans Reg"/>
          <w:szCs w:val="22"/>
        </w:rPr>
      </w:pPr>
      <w:r w:rsidRPr="00072BF0">
        <w:rPr>
          <w:rFonts w:ascii="TyponineSans Reg" w:hAnsi="TyponineSans Reg"/>
          <w:szCs w:val="22"/>
        </w:rPr>
        <w:t>U okviru AOP-a 038 iskazan je ukupan iznos obveza na kraju izvještajnog razdoblja u ukupnom iznosu od 4.860.020 kn. Tako iskazane obveze Ustanove manje su za 47,67% u odnosu na stanje obveza na dan 01.01.2020. godine kada su iznosile 9.288.249 kn.</w:t>
      </w:r>
    </w:p>
    <w:p w14:paraId="7AC8909B" w14:textId="77777777" w:rsidR="001B3DD7" w:rsidRPr="00072BF0" w:rsidRDefault="001B3DD7" w:rsidP="001B3DD7">
      <w:pPr>
        <w:jc w:val="both"/>
        <w:rPr>
          <w:rFonts w:ascii="TyponineSans Reg" w:hAnsi="TyponineSans Reg"/>
          <w:szCs w:val="22"/>
        </w:rPr>
      </w:pPr>
    </w:p>
    <w:p w14:paraId="7B608F3A" w14:textId="77777777" w:rsidR="001B3DD7" w:rsidRPr="00072BF0" w:rsidRDefault="001B3DD7" w:rsidP="001B3DD7">
      <w:pPr>
        <w:jc w:val="both"/>
        <w:rPr>
          <w:rFonts w:ascii="TyponineSans Reg" w:hAnsi="TyponineSans Reg"/>
          <w:szCs w:val="22"/>
        </w:rPr>
      </w:pPr>
      <w:r w:rsidRPr="00072BF0">
        <w:rPr>
          <w:rFonts w:ascii="TyponineSans Reg" w:hAnsi="TyponineSans Reg"/>
          <w:szCs w:val="22"/>
        </w:rPr>
        <w:t>Smanjenje obveza rezultat je, prije svega, smanjenja obveza za primljene, a neiskorištene EU predujmove koji su u odnosu na stanje na dan 01.01. smanjen</w:t>
      </w:r>
      <w:r>
        <w:rPr>
          <w:rFonts w:ascii="TyponineSans Reg" w:hAnsi="TyponineSans Reg"/>
          <w:szCs w:val="22"/>
        </w:rPr>
        <w:t>e</w:t>
      </w:r>
      <w:r w:rsidRPr="00072BF0">
        <w:rPr>
          <w:rFonts w:ascii="TyponineSans Reg" w:hAnsi="TyponineSans Reg"/>
          <w:szCs w:val="22"/>
        </w:rPr>
        <w:t xml:space="preserve">  za 3.173.985 kn te smanjenja obveza za primljene predujmove kupaca u iznosu od 374.807,03 kn</w:t>
      </w:r>
      <w:r>
        <w:rPr>
          <w:rFonts w:ascii="TyponineSans Reg" w:hAnsi="TyponineSans Reg"/>
          <w:szCs w:val="22"/>
        </w:rPr>
        <w:t>.</w:t>
      </w:r>
    </w:p>
    <w:p w14:paraId="4263AD44" w14:textId="77777777" w:rsidR="001B3DD7" w:rsidRPr="00072BF0" w:rsidRDefault="001B3DD7" w:rsidP="001B3DD7">
      <w:pPr>
        <w:jc w:val="both"/>
        <w:rPr>
          <w:rFonts w:ascii="TyponineSans Reg" w:hAnsi="TyponineSans Reg"/>
          <w:szCs w:val="22"/>
        </w:rPr>
      </w:pPr>
    </w:p>
    <w:p w14:paraId="04FAD3A9" w14:textId="77777777" w:rsidR="001B3DD7" w:rsidRPr="00072BF0" w:rsidRDefault="001B3DD7" w:rsidP="001B3DD7">
      <w:pPr>
        <w:jc w:val="both"/>
        <w:rPr>
          <w:rFonts w:ascii="TyponineSans Reg" w:hAnsi="TyponineSans Reg"/>
          <w:szCs w:val="22"/>
        </w:rPr>
      </w:pPr>
      <w:r w:rsidRPr="00072BF0">
        <w:rPr>
          <w:rFonts w:ascii="TyponineSans Reg" w:hAnsi="TyponineSans Reg"/>
          <w:szCs w:val="22"/>
        </w:rPr>
        <w:t>Od ukupno iskazanog iznosa obveza najveći dio odnosi se na nedospjele obveze u iznosu od 4.313.264 kn od čega se pojedinačno najveći iznosi odnose na obveze za zaposlene u ukupnom iznosu od 2.097.704 kn, obveze za materijalne rashode 1.413.828 kn, obveze za primljene predujmove hotelskih gostiju i izletnika u iznosu od 543.046 kn te ostale vrijednosno manje značajne obveze poslovanja.</w:t>
      </w:r>
    </w:p>
    <w:p w14:paraId="2596B896" w14:textId="77777777" w:rsidR="001B3DD7" w:rsidRPr="00072BF0" w:rsidRDefault="001B3DD7" w:rsidP="001B3DD7">
      <w:pPr>
        <w:jc w:val="both"/>
        <w:rPr>
          <w:rFonts w:ascii="TyponineSans Reg" w:hAnsi="TyponineSans Reg"/>
          <w:szCs w:val="22"/>
        </w:rPr>
      </w:pPr>
    </w:p>
    <w:p w14:paraId="22342331" w14:textId="599BE713" w:rsidR="001B3DD7" w:rsidRDefault="001B3DD7" w:rsidP="001B3DD7">
      <w:pPr>
        <w:tabs>
          <w:tab w:val="left" w:pos="4962"/>
        </w:tabs>
        <w:rPr>
          <w:rFonts w:ascii="TyponineSans Reg" w:hAnsi="TyponineSans Reg"/>
          <w:color w:val="0070C0"/>
          <w:szCs w:val="22"/>
        </w:rPr>
      </w:pPr>
    </w:p>
    <w:p w14:paraId="4CFCA023" w14:textId="12984F8F" w:rsidR="005A54F2" w:rsidRDefault="005A54F2" w:rsidP="001B3DD7">
      <w:pPr>
        <w:tabs>
          <w:tab w:val="left" w:pos="4962"/>
        </w:tabs>
        <w:rPr>
          <w:rFonts w:ascii="TyponineSans Reg" w:hAnsi="TyponineSans Reg"/>
          <w:color w:val="0070C0"/>
          <w:szCs w:val="22"/>
        </w:rPr>
      </w:pPr>
    </w:p>
    <w:p w14:paraId="7830E98D" w14:textId="77777777" w:rsidR="005A54F2" w:rsidRDefault="005A54F2" w:rsidP="001B3DD7">
      <w:pPr>
        <w:tabs>
          <w:tab w:val="left" w:pos="4962"/>
        </w:tabs>
        <w:rPr>
          <w:rFonts w:ascii="TyponineSans Reg" w:hAnsi="TyponineSans Reg"/>
          <w:color w:val="0070C0"/>
          <w:szCs w:val="22"/>
        </w:rPr>
      </w:pPr>
    </w:p>
    <w:p w14:paraId="0ED0F6E1" w14:textId="77777777" w:rsidR="002B2842" w:rsidRPr="00486643" w:rsidRDefault="002B2842" w:rsidP="001B3DD7">
      <w:pPr>
        <w:tabs>
          <w:tab w:val="left" w:pos="4962"/>
        </w:tabs>
        <w:rPr>
          <w:rFonts w:ascii="TyponineSans Reg" w:hAnsi="TyponineSans Reg"/>
          <w:color w:val="0070C0"/>
          <w:szCs w:val="22"/>
        </w:rPr>
      </w:pPr>
    </w:p>
    <w:p w14:paraId="4CB2F2FE" w14:textId="719051D6" w:rsidR="004919F9" w:rsidRPr="00567E2E" w:rsidRDefault="004919F9" w:rsidP="004919F9">
      <w:pPr>
        <w:tabs>
          <w:tab w:val="left" w:pos="4962"/>
        </w:tabs>
        <w:rPr>
          <w:rFonts w:ascii="TyponineSans Reg" w:hAnsi="TyponineSans Reg"/>
          <w:szCs w:val="22"/>
        </w:rPr>
      </w:pPr>
      <w:r>
        <w:rPr>
          <w:rFonts w:ascii="TyponineSans Reg" w:hAnsi="TyponineSans Reg"/>
          <w:color w:val="FF0000"/>
          <w:szCs w:val="22"/>
        </w:rPr>
        <w:tab/>
      </w:r>
      <w:r w:rsidRPr="00567E2E">
        <w:rPr>
          <w:rFonts w:ascii="TyponineSans Reg" w:hAnsi="TyponineSans Reg"/>
          <w:szCs w:val="22"/>
        </w:rPr>
        <w:t>Rukovoditeljica Odjela za financijsko</w:t>
      </w:r>
      <w:r w:rsidR="00567E2E" w:rsidRPr="00567E2E">
        <w:rPr>
          <w:rFonts w:ascii="TyponineSans Reg" w:hAnsi="TyponineSans Reg"/>
          <w:szCs w:val="22"/>
        </w:rPr>
        <w:t>-</w:t>
      </w:r>
      <w:r w:rsidRPr="00567E2E">
        <w:rPr>
          <w:rFonts w:ascii="TyponineSans Reg" w:hAnsi="TyponineSans Reg"/>
          <w:szCs w:val="22"/>
        </w:rPr>
        <w:t xml:space="preserve">                                                        </w:t>
      </w:r>
    </w:p>
    <w:p w14:paraId="0820E427" w14:textId="2DBD95D7" w:rsidR="004919F9" w:rsidRPr="00567E2E" w:rsidRDefault="004919F9" w:rsidP="004919F9">
      <w:pPr>
        <w:tabs>
          <w:tab w:val="left" w:pos="4962"/>
        </w:tabs>
        <w:rPr>
          <w:rFonts w:ascii="TyponineSans Reg" w:hAnsi="TyponineSans Reg"/>
          <w:szCs w:val="22"/>
        </w:rPr>
      </w:pPr>
      <w:r w:rsidRPr="00567E2E">
        <w:rPr>
          <w:rFonts w:ascii="TyponineSans Reg" w:hAnsi="TyponineSans Reg"/>
          <w:szCs w:val="22"/>
        </w:rPr>
        <w:t xml:space="preserve">                                                                                                   </w:t>
      </w:r>
      <w:r w:rsidR="00567E2E" w:rsidRPr="00567E2E">
        <w:rPr>
          <w:rFonts w:ascii="TyponineSans Reg" w:hAnsi="TyponineSans Reg"/>
          <w:szCs w:val="22"/>
        </w:rPr>
        <w:t>r</w:t>
      </w:r>
      <w:r w:rsidRPr="00567E2E">
        <w:rPr>
          <w:rFonts w:ascii="TyponineSans Reg" w:hAnsi="TyponineSans Reg"/>
          <w:szCs w:val="22"/>
        </w:rPr>
        <w:t>ačunovodstvene poslove i nabavu</w:t>
      </w:r>
    </w:p>
    <w:p w14:paraId="70DD5287" w14:textId="132D3978" w:rsidR="004919F9" w:rsidRDefault="004919F9" w:rsidP="004919F9">
      <w:pPr>
        <w:tabs>
          <w:tab w:val="left" w:pos="4962"/>
        </w:tabs>
        <w:rPr>
          <w:rFonts w:ascii="TyponineSans Reg" w:hAnsi="TyponineSans Reg"/>
          <w:szCs w:val="22"/>
        </w:rPr>
      </w:pPr>
    </w:p>
    <w:p w14:paraId="49027C59" w14:textId="77777777" w:rsidR="00567E2E" w:rsidRPr="00567E2E" w:rsidRDefault="00567E2E" w:rsidP="004919F9">
      <w:pPr>
        <w:tabs>
          <w:tab w:val="left" w:pos="4962"/>
        </w:tabs>
        <w:rPr>
          <w:rFonts w:ascii="TyponineSans Reg" w:hAnsi="TyponineSans Reg"/>
          <w:szCs w:val="22"/>
        </w:rPr>
      </w:pPr>
    </w:p>
    <w:p w14:paraId="75B4053E" w14:textId="7F6A2181" w:rsidR="004919F9" w:rsidRPr="00567E2E" w:rsidRDefault="004919F9" w:rsidP="004919F9">
      <w:pPr>
        <w:tabs>
          <w:tab w:val="left" w:pos="4962"/>
        </w:tabs>
        <w:rPr>
          <w:rFonts w:ascii="TyponineSans Reg" w:hAnsi="TyponineSans Reg"/>
          <w:szCs w:val="22"/>
        </w:rPr>
      </w:pPr>
      <w:r w:rsidRPr="00567E2E">
        <w:rPr>
          <w:rFonts w:ascii="TyponineSans Reg" w:hAnsi="TyponineSans Reg"/>
          <w:szCs w:val="22"/>
        </w:rPr>
        <w:t xml:space="preserve">                                                                                                   </w:t>
      </w:r>
      <w:r w:rsidR="00567E2E" w:rsidRPr="00567E2E">
        <w:rPr>
          <w:rFonts w:ascii="TyponineSans Reg" w:hAnsi="TyponineSans Reg"/>
          <w:szCs w:val="22"/>
        </w:rPr>
        <w:t xml:space="preserve"> </w:t>
      </w:r>
      <w:r w:rsidRPr="00567E2E">
        <w:rPr>
          <w:rFonts w:ascii="TyponineSans Reg" w:hAnsi="TyponineSans Reg"/>
          <w:szCs w:val="22"/>
        </w:rPr>
        <w:t xml:space="preserve">Lorena Žunić          </w:t>
      </w:r>
    </w:p>
    <w:p w14:paraId="4536DA54" w14:textId="77777777" w:rsidR="001B3DD7" w:rsidRPr="00486643" w:rsidRDefault="001B3DD7" w:rsidP="001B3DD7">
      <w:pPr>
        <w:tabs>
          <w:tab w:val="left" w:pos="4962"/>
        </w:tabs>
        <w:rPr>
          <w:rFonts w:ascii="TyponineSans Reg" w:hAnsi="TyponineSans Reg"/>
          <w:color w:val="0070C0"/>
          <w:szCs w:val="22"/>
        </w:rPr>
      </w:pPr>
    </w:p>
    <w:p w14:paraId="6462A5F3" w14:textId="77777777" w:rsidR="001B3DD7" w:rsidRPr="00486643" w:rsidRDefault="001B3DD7" w:rsidP="001B3DD7">
      <w:pPr>
        <w:tabs>
          <w:tab w:val="left" w:pos="4962"/>
        </w:tabs>
        <w:rPr>
          <w:rFonts w:ascii="TyponineSans Reg" w:hAnsi="TyponineSans Reg"/>
          <w:color w:val="0070C0"/>
          <w:szCs w:val="22"/>
        </w:rPr>
      </w:pPr>
      <w:r w:rsidRPr="00486643">
        <w:rPr>
          <w:rFonts w:ascii="TyponineSans Reg" w:hAnsi="TyponineSans Reg"/>
          <w:color w:val="0070C0"/>
          <w:szCs w:val="22"/>
        </w:rPr>
        <w:t xml:space="preserve"> </w:t>
      </w:r>
    </w:p>
    <w:p w14:paraId="37854886" w14:textId="77777777" w:rsidR="001B3DD7" w:rsidRPr="00486643" w:rsidRDefault="001B3DD7" w:rsidP="001B3DD7">
      <w:pPr>
        <w:tabs>
          <w:tab w:val="left" w:pos="4962"/>
        </w:tabs>
        <w:rPr>
          <w:rFonts w:ascii="TyponineSans Reg" w:hAnsi="TyponineSans Reg"/>
          <w:color w:val="0070C0"/>
          <w:szCs w:val="22"/>
        </w:rPr>
      </w:pPr>
    </w:p>
    <w:p w14:paraId="0F3C1014" w14:textId="77777777" w:rsidR="001B3DD7" w:rsidRPr="00486643" w:rsidRDefault="001B3DD7" w:rsidP="001B3DD7">
      <w:pPr>
        <w:tabs>
          <w:tab w:val="left" w:pos="4962"/>
        </w:tabs>
        <w:rPr>
          <w:rFonts w:ascii="TyponineSans Reg" w:hAnsi="TyponineSans Reg"/>
          <w:color w:val="0070C0"/>
          <w:szCs w:val="22"/>
        </w:rPr>
      </w:pPr>
      <w:r w:rsidRPr="00486643">
        <w:rPr>
          <w:rFonts w:ascii="TyponineSans Reg" w:hAnsi="TyponineSans Reg"/>
          <w:color w:val="0070C0"/>
          <w:szCs w:val="22"/>
        </w:rPr>
        <w:t xml:space="preserve">                                                                                                   </w:t>
      </w:r>
    </w:p>
    <w:p w14:paraId="0E41891D" w14:textId="77777777" w:rsidR="001B3DD7" w:rsidRPr="00486643" w:rsidRDefault="001B3DD7" w:rsidP="001B3DD7">
      <w:pPr>
        <w:tabs>
          <w:tab w:val="left" w:pos="4962"/>
        </w:tabs>
        <w:rPr>
          <w:rFonts w:ascii="TyponineSans Reg" w:hAnsi="TyponineSans Reg"/>
          <w:color w:val="0070C0"/>
          <w:szCs w:val="22"/>
        </w:rPr>
      </w:pPr>
    </w:p>
    <w:p w14:paraId="0335D9B5" w14:textId="77777777" w:rsidR="001B3DD7" w:rsidRPr="00486643" w:rsidRDefault="001B3DD7" w:rsidP="001B3DD7">
      <w:pPr>
        <w:tabs>
          <w:tab w:val="left" w:pos="4962"/>
        </w:tabs>
        <w:ind w:left="4962"/>
        <w:rPr>
          <w:rFonts w:ascii="TyponineSans Reg" w:hAnsi="TyponineSans Reg"/>
          <w:color w:val="0070C0"/>
          <w:sz w:val="24"/>
        </w:rPr>
      </w:pPr>
    </w:p>
    <w:p w14:paraId="43EDA2C3" w14:textId="77777777" w:rsidR="001B3DD7" w:rsidRPr="00486643" w:rsidRDefault="001B3DD7" w:rsidP="001B3DD7">
      <w:pPr>
        <w:jc w:val="both"/>
        <w:rPr>
          <w:rFonts w:ascii="TyponineSans Reg" w:eastAsia="Times" w:hAnsi="TyponineSans Reg"/>
          <w:color w:val="0070C0"/>
          <w:sz w:val="24"/>
          <w:lang w:val="en-US"/>
        </w:rPr>
      </w:pPr>
      <w:r w:rsidRPr="00486643">
        <w:rPr>
          <w:rFonts w:ascii="TyponineSans Reg" w:eastAsia="Times" w:hAnsi="TyponineSans Reg"/>
          <w:color w:val="0070C0"/>
          <w:sz w:val="24"/>
          <w:lang w:val="en-US"/>
        </w:rPr>
        <w:t xml:space="preserve">                                                                                                    </w:t>
      </w:r>
    </w:p>
    <w:p w14:paraId="0E89DA8D" w14:textId="77777777" w:rsidR="001B3DD7" w:rsidRPr="00486643" w:rsidRDefault="001B3DD7" w:rsidP="001B3DD7">
      <w:pPr>
        <w:jc w:val="both"/>
        <w:rPr>
          <w:rFonts w:ascii="TyponineSans Reg" w:hAnsi="TyponineSans Reg"/>
          <w:color w:val="0070C0"/>
          <w:sz w:val="24"/>
          <w:szCs w:val="24"/>
        </w:rPr>
      </w:pPr>
    </w:p>
    <w:p w14:paraId="5992172E" w14:textId="77777777" w:rsidR="001B3DD7" w:rsidRPr="00486643" w:rsidRDefault="001B3DD7" w:rsidP="001B3DD7">
      <w:pPr>
        <w:jc w:val="both"/>
        <w:rPr>
          <w:rFonts w:ascii="TyponineSans Reg" w:hAnsi="TyponineSans Reg"/>
          <w:color w:val="0070C0"/>
          <w:sz w:val="24"/>
          <w:szCs w:val="24"/>
        </w:rPr>
      </w:pPr>
    </w:p>
    <w:p w14:paraId="5490363F" w14:textId="77777777" w:rsidR="001B3DD7" w:rsidRPr="00486643" w:rsidRDefault="001B3DD7" w:rsidP="001B3DD7">
      <w:pPr>
        <w:jc w:val="both"/>
        <w:rPr>
          <w:rFonts w:ascii="TyponineSans Reg" w:hAnsi="TyponineSans Reg"/>
          <w:color w:val="0070C0"/>
          <w:sz w:val="24"/>
          <w:szCs w:val="24"/>
        </w:rPr>
      </w:pPr>
    </w:p>
    <w:p w14:paraId="3B7DF65D" w14:textId="77777777" w:rsidR="001B3DD7" w:rsidRPr="00486643" w:rsidRDefault="001B3DD7" w:rsidP="001B3DD7">
      <w:pPr>
        <w:jc w:val="both"/>
        <w:rPr>
          <w:rFonts w:ascii="TyponineSans Reg" w:hAnsi="TyponineSans Reg"/>
          <w:color w:val="0070C0"/>
          <w:sz w:val="24"/>
          <w:szCs w:val="24"/>
        </w:rPr>
      </w:pPr>
    </w:p>
    <w:p w14:paraId="4649E7B4" w14:textId="77777777" w:rsidR="00F71F7A" w:rsidRPr="00437CA9" w:rsidRDefault="00F71F7A" w:rsidP="00A1045D">
      <w:pPr>
        <w:jc w:val="both"/>
        <w:rPr>
          <w:rFonts w:ascii="TyponineSans Reg" w:hAnsi="TyponineSans Reg"/>
          <w:b/>
          <w:color w:val="FF0000"/>
          <w:sz w:val="24"/>
          <w:bdr w:val="single" w:sz="4" w:space="0" w:color="auto"/>
        </w:rPr>
      </w:pPr>
    </w:p>
    <w:sectPr w:rsidR="00F71F7A" w:rsidRPr="00437CA9" w:rsidSect="00367F12">
      <w:headerReference w:type="even" r:id="rId16"/>
      <w:headerReference w:type="default" r:id="rId17"/>
      <w:pgSz w:w="11907" w:h="16840" w:code="9"/>
      <w:pgMar w:top="1701" w:right="1134" w:bottom="1151" w:left="1701"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4FD699" w14:textId="77777777" w:rsidR="00BF293A" w:rsidRDefault="00BF293A">
      <w:r>
        <w:separator/>
      </w:r>
    </w:p>
  </w:endnote>
  <w:endnote w:type="continuationSeparator" w:id="0">
    <w:p w14:paraId="76DAEE5B" w14:textId="77777777" w:rsidR="00BF293A" w:rsidRDefault="00BF29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TyponineSans Reg">
    <w:altName w:val="Calibri"/>
    <w:panose1 w:val="00000000000000000000"/>
    <w:charset w:val="00"/>
    <w:family w:val="modern"/>
    <w:notTrueType/>
    <w:pitch w:val="variable"/>
    <w:sig w:usb0="A00000BF" w:usb1="5001E47B" w:usb2="00000000" w:usb3="00000000" w:csb0="00000193"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E18183" w14:textId="77777777" w:rsidR="00BF293A" w:rsidRDefault="00BF293A">
      <w:r>
        <w:separator/>
      </w:r>
    </w:p>
  </w:footnote>
  <w:footnote w:type="continuationSeparator" w:id="0">
    <w:p w14:paraId="5FBF796B" w14:textId="77777777" w:rsidR="00BF293A" w:rsidRDefault="00BF29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209B8" w14:textId="77777777" w:rsidR="00162E37" w:rsidRDefault="00162E3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4BBBA4D" w14:textId="77777777" w:rsidR="00162E37" w:rsidRDefault="00162E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3D3B4" w14:textId="77777777" w:rsidR="00162E37" w:rsidRDefault="00162E3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24</w:t>
    </w:r>
    <w:r>
      <w:rPr>
        <w:rStyle w:val="PageNumber"/>
      </w:rPr>
      <w:fldChar w:fldCharType="end"/>
    </w:r>
  </w:p>
  <w:p w14:paraId="232D7357" w14:textId="77777777" w:rsidR="00162E37" w:rsidRDefault="00162E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0115A"/>
    <w:multiLevelType w:val="singleLevel"/>
    <w:tmpl w:val="0409000B"/>
    <w:lvl w:ilvl="0">
      <w:start w:val="1"/>
      <w:numFmt w:val="bullet"/>
      <w:lvlText w:val=""/>
      <w:lvlJc w:val="left"/>
      <w:pPr>
        <w:ind w:left="720" w:hanging="360"/>
      </w:pPr>
      <w:rPr>
        <w:rFonts w:ascii="Wingdings" w:hAnsi="Wingdings" w:hint="default"/>
      </w:rPr>
    </w:lvl>
  </w:abstractNum>
  <w:abstractNum w:abstractNumId="1" w15:restartNumberingAfterBreak="0">
    <w:nsid w:val="062C0501"/>
    <w:multiLevelType w:val="hybridMultilevel"/>
    <w:tmpl w:val="54D4B44A"/>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BEF7B46"/>
    <w:multiLevelType w:val="hybridMultilevel"/>
    <w:tmpl w:val="0972C0C6"/>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C7D5184"/>
    <w:multiLevelType w:val="hybridMultilevel"/>
    <w:tmpl w:val="D85CF894"/>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CA4214E"/>
    <w:multiLevelType w:val="hybridMultilevel"/>
    <w:tmpl w:val="D33428E8"/>
    <w:lvl w:ilvl="0" w:tplc="041A000B">
      <w:start w:val="1"/>
      <w:numFmt w:val="bullet"/>
      <w:lvlText w:val=""/>
      <w:lvlJc w:val="left"/>
      <w:pPr>
        <w:ind w:left="1160" w:hanging="360"/>
      </w:pPr>
      <w:rPr>
        <w:rFonts w:ascii="Wingdings" w:hAnsi="Wingdings" w:hint="default"/>
      </w:rPr>
    </w:lvl>
    <w:lvl w:ilvl="1" w:tplc="041A0003" w:tentative="1">
      <w:start w:val="1"/>
      <w:numFmt w:val="bullet"/>
      <w:lvlText w:val="o"/>
      <w:lvlJc w:val="left"/>
      <w:pPr>
        <w:ind w:left="1880" w:hanging="360"/>
      </w:pPr>
      <w:rPr>
        <w:rFonts w:ascii="Courier New" w:hAnsi="Courier New" w:cs="Courier New" w:hint="default"/>
      </w:rPr>
    </w:lvl>
    <w:lvl w:ilvl="2" w:tplc="041A0005" w:tentative="1">
      <w:start w:val="1"/>
      <w:numFmt w:val="bullet"/>
      <w:lvlText w:val=""/>
      <w:lvlJc w:val="left"/>
      <w:pPr>
        <w:ind w:left="2600" w:hanging="360"/>
      </w:pPr>
      <w:rPr>
        <w:rFonts w:ascii="Wingdings" w:hAnsi="Wingdings" w:hint="default"/>
      </w:rPr>
    </w:lvl>
    <w:lvl w:ilvl="3" w:tplc="041A0001" w:tentative="1">
      <w:start w:val="1"/>
      <w:numFmt w:val="bullet"/>
      <w:lvlText w:val=""/>
      <w:lvlJc w:val="left"/>
      <w:pPr>
        <w:ind w:left="3320" w:hanging="360"/>
      </w:pPr>
      <w:rPr>
        <w:rFonts w:ascii="Symbol" w:hAnsi="Symbol" w:hint="default"/>
      </w:rPr>
    </w:lvl>
    <w:lvl w:ilvl="4" w:tplc="041A0003" w:tentative="1">
      <w:start w:val="1"/>
      <w:numFmt w:val="bullet"/>
      <w:lvlText w:val="o"/>
      <w:lvlJc w:val="left"/>
      <w:pPr>
        <w:ind w:left="4040" w:hanging="360"/>
      </w:pPr>
      <w:rPr>
        <w:rFonts w:ascii="Courier New" w:hAnsi="Courier New" w:cs="Courier New" w:hint="default"/>
      </w:rPr>
    </w:lvl>
    <w:lvl w:ilvl="5" w:tplc="041A0005" w:tentative="1">
      <w:start w:val="1"/>
      <w:numFmt w:val="bullet"/>
      <w:lvlText w:val=""/>
      <w:lvlJc w:val="left"/>
      <w:pPr>
        <w:ind w:left="4760" w:hanging="360"/>
      </w:pPr>
      <w:rPr>
        <w:rFonts w:ascii="Wingdings" w:hAnsi="Wingdings" w:hint="default"/>
      </w:rPr>
    </w:lvl>
    <w:lvl w:ilvl="6" w:tplc="041A0001" w:tentative="1">
      <w:start w:val="1"/>
      <w:numFmt w:val="bullet"/>
      <w:lvlText w:val=""/>
      <w:lvlJc w:val="left"/>
      <w:pPr>
        <w:ind w:left="5480" w:hanging="360"/>
      </w:pPr>
      <w:rPr>
        <w:rFonts w:ascii="Symbol" w:hAnsi="Symbol" w:hint="default"/>
      </w:rPr>
    </w:lvl>
    <w:lvl w:ilvl="7" w:tplc="041A0003" w:tentative="1">
      <w:start w:val="1"/>
      <w:numFmt w:val="bullet"/>
      <w:lvlText w:val="o"/>
      <w:lvlJc w:val="left"/>
      <w:pPr>
        <w:ind w:left="6200" w:hanging="360"/>
      </w:pPr>
      <w:rPr>
        <w:rFonts w:ascii="Courier New" w:hAnsi="Courier New" w:cs="Courier New" w:hint="default"/>
      </w:rPr>
    </w:lvl>
    <w:lvl w:ilvl="8" w:tplc="041A0005" w:tentative="1">
      <w:start w:val="1"/>
      <w:numFmt w:val="bullet"/>
      <w:lvlText w:val=""/>
      <w:lvlJc w:val="left"/>
      <w:pPr>
        <w:ind w:left="6920" w:hanging="360"/>
      </w:pPr>
      <w:rPr>
        <w:rFonts w:ascii="Wingdings" w:hAnsi="Wingdings" w:hint="default"/>
      </w:rPr>
    </w:lvl>
  </w:abstractNum>
  <w:abstractNum w:abstractNumId="5" w15:restartNumberingAfterBreak="0">
    <w:nsid w:val="0D4962C8"/>
    <w:multiLevelType w:val="hybridMultilevel"/>
    <w:tmpl w:val="9B0A57E0"/>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0D5B0DA4"/>
    <w:multiLevelType w:val="hybridMultilevel"/>
    <w:tmpl w:val="14288B18"/>
    <w:lvl w:ilvl="0" w:tplc="035635D8">
      <w:numFmt w:val="bullet"/>
      <w:lvlText w:val="-"/>
      <w:lvlJc w:val="left"/>
      <w:pPr>
        <w:ind w:left="1200" w:hanging="360"/>
      </w:pPr>
      <w:rPr>
        <w:rFonts w:ascii="Calibri" w:eastAsia="Times New Roman" w:hAnsi="Calibri" w:cs="Calibri" w:hint="default"/>
      </w:rPr>
    </w:lvl>
    <w:lvl w:ilvl="1" w:tplc="041A0003" w:tentative="1">
      <w:start w:val="1"/>
      <w:numFmt w:val="bullet"/>
      <w:lvlText w:val="o"/>
      <w:lvlJc w:val="left"/>
      <w:pPr>
        <w:ind w:left="1920" w:hanging="360"/>
      </w:pPr>
      <w:rPr>
        <w:rFonts w:ascii="Courier New" w:hAnsi="Courier New" w:cs="Courier New" w:hint="default"/>
      </w:rPr>
    </w:lvl>
    <w:lvl w:ilvl="2" w:tplc="041A0005" w:tentative="1">
      <w:start w:val="1"/>
      <w:numFmt w:val="bullet"/>
      <w:lvlText w:val=""/>
      <w:lvlJc w:val="left"/>
      <w:pPr>
        <w:ind w:left="2640" w:hanging="360"/>
      </w:pPr>
      <w:rPr>
        <w:rFonts w:ascii="Wingdings" w:hAnsi="Wingdings" w:hint="default"/>
      </w:rPr>
    </w:lvl>
    <w:lvl w:ilvl="3" w:tplc="041A0001" w:tentative="1">
      <w:start w:val="1"/>
      <w:numFmt w:val="bullet"/>
      <w:lvlText w:val=""/>
      <w:lvlJc w:val="left"/>
      <w:pPr>
        <w:ind w:left="3360" w:hanging="360"/>
      </w:pPr>
      <w:rPr>
        <w:rFonts w:ascii="Symbol" w:hAnsi="Symbol" w:hint="default"/>
      </w:rPr>
    </w:lvl>
    <w:lvl w:ilvl="4" w:tplc="041A0003" w:tentative="1">
      <w:start w:val="1"/>
      <w:numFmt w:val="bullet"/>
      <w:lvlText w:val="o"/>
      <w:lvlJc w:val="left"/>
      <w:pPr>
        <w:ind w:left="4080" w:hanging="360"/>
      </w:pPr>
      <w:rPr>
        <w:rFonts w:ascii="Courier New" w:hAnsi="Courier New" w:cs="Courier New" w:hint="default"/>
      </w:rPr>
    </w:lvl>
    <w:lvl w:ilvl="5" w:tplc="041A0005" w:tentative="1">
      <w:start w:val="1"/>
      <w:numFmt w:val="bullet"/>
      <w:lvlText w:val=""/>
      <w:lvlJc w:val="left"/>
      <w:pPr>
        <w:ind w:left="4800" w:hanging="360"/>
      </w:pPr>
      <w:rPr>
        <w:rFonts w:ascii="Wingdings" w:hAnsi="Wingdings" w:hint="default"/>
      </w:rPr>
    </w:lvl>
    <w:lvl w:ilvl="6" w:tplc="041A0001" w:tentative="1">
      <w:start w:val="1"/>
      <w:numFmt w:val="bullet"/>
      <w:lvlText w:val=""/>
      <w:lvlJc w:val="left"/>
      <w:pPr>
        <w:ind w:left="5520" w:hanging="360"/>
      </w:pPr>
      <w:rPr>
        <w:rFonts w:ascii="Symbol" w:hAnsi="Symbol" w:hint="default"/>
      </w:rPr>
    </w:lvl>
    <w:lvl w:ilvl="7" w:tplc="041A0003" w:tentative="1">
      <w:start w:val="1"/>
      <w:numFmt w:val="bullet"/>
      <w:lvlText w:val="o"/>
      <w:lvlJc w:val="left"/>
      <w:pPr>
        <w:ind w:left="6240" w:hanging="360"/>
      </w:pPr>
      <w:rPr>
        <w:rFonts w:ascii="Courier New" w:hAnsi="Courier New" w:cs="Courier New" w:hint="default"/>
      </w:rPr>
    </w:lvl>
    <w:lvl w:ilvl="8" w:tplc="041A0005" w:tentative="1">
      <w:start w:val="1"/>
      <w:numFmt w:val="bullet"/>
      <w:lvlText w:val=""/>
      <w:lvlJc w:val="left"/>
      <w:pPr>
        <w:ind w:left="6960" w:hanging="360"/>
      </w:pPr>
      <w:rPr>
        <w:rFonts w:ascii="Wingdings" w:hAnsi="Wingdings" w:hint="default"/>
      </w:rPr>
    </w:lvl>
  </w:abstractNum>
  <w:abstractNum w:abstractNumId="7" w15:restartNumberingAfterBreak="0">
    <w:nsid w:val="10D74299"/>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11DF46E4"/>
    <w:multiLevelType w:val="hybridMultilevel"/>
    <w:tmpl w:val="AF4EC450"/>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144A1D23"/>
    <w:multiLevelType w:val="hybridMultilevel"/>
    <w:tmpl w:val="BE88FF9C"/>
    <w:lvl w:ilvl="0" w:tplc="316EA678">
      <w:numFmt w:val="bullet"/>
      <w:lvlText w:val="-"/>
      <w:lvlJc w:val="left"/>
      <w:pPr>
        <w:ind w:left="1740" w:hanging="360"/>
      </w:pPr>
      <w:rPr>
        <w:rFonts w:ascii="Calibri" w:eastAsia="Times New Roman" w:hAnsi="Calibri" w:cs="Calibri" w:hint="default"/>
      </w:rPr>
    </w:lvl>
    <w:lvl w:ilvl="1" w:tplc="041A0003" w:tentative="1">
      <w:start w:val="1"/>
      <w:numFmt w:val="bullet"/>
      <w:lvlText w:val="o"/>
      <w:lvlJc w:val="left"/>
      <w:pPr>
        <w:ind w:left="2460" w:hanging="360"/>
      </w:pPr>
      <w:rPr>
        <w:rFonts w:ascii="Courier New" w:hAnsi="Courier New" w:cs="Courier New" w:hint="default"/>
      </w:rPr>
    </w:lvl>
    <w:lvl w:ilvl="2" w:tplc="041A0005" w:tentative="1">
      <w:start w:val="1"/>
      <w:numFmt w:val="bullet"/>
      <w:lvlText w:val=""/>
      <w:lvlJc w:val="left"/>
      <w:pPr>
        <w:ind w:left="3180" w:hanging="360"/>
      </w:pPr>
      <w:rPr>
        <w:rFonts w:ascii="Wingdings" w:hAnsi="Wingdings" w:hint="default"/>
      </w:rPr>
    </w:lvl>
    <w:lvl w:ilvl="3" w:tplc="041A0001" w:tentative="1">
      <w:start w:val="1"/>
      <w:numFmt w:val="bullet"/>
      <w:lvlText w:val=""/>
      <w:lvlJc w:val="left"/>
      <w:pPr>
        <w:ind w:left="3900" w:hanging="360"/>
      </w:pPr>
      <w:rPr>
        <w:rFonts w:ascii="Symbol" w:hAnsi="Symbol" w:hint="default"/>
      </w:rPr>
    </w:lvl>
    <w:lvl w:ilvl="4" w:tplc="041A0003" w:tentative="1">
      <w:start w:val="1"/>
      <w:numFmt w:val="bullet"/>
      <w:lvlText w:val="o"/>
      <w:lvlJc w:val="left"/>
      <w:pPr>
        <w:ind w:left="4620" w:hanging="360"/>
      </w:pPr>
      <w:rPr>
        <w:rFonts w:ascii="Courier New" w:hAnsi="Courier New" w:cs="Courier New" w:hint="default"/>
      </w:rPr>
    </w:lvl>
    <w:lvl w:ilvl="5" w:tplc="041A0005" w:tentative="1">
      <w:start w:val="1"/>
      <w:numFmt w:val="bullet"/>
      <w:lvlText w:val=""/>
      <w:lvlJc w:val="left"/>
      <w:pPr>
        <w:ind w:left="5340" w:hanging="360"/>
      </w:pPr>
      <w:rPr>
        <w:rFonts w:ascii="Wingdings" w:hAnsi="Wingdings" w:hint="default"/>
      </w:rPr>
    </w:lvl>
    <w:lvl w:ilvl="6" w:tplc="041A0001" w:tentative="1">
      <w:start w:val="1"/>
      <w:numFmt w:val="bullet"/>
      <w:lvlText w:val=""/>
      <w:lvlJc w:val="left"/>
      <w:pPr>
        <w:ind w:left="6060" w:hanging="360"/>
      </w:pPr>
      <w:rPr>
        <w:rFonts w:ascii="Symbol" w:hAnsi="Symbol" w:hint="default"/>
      </w:rPr>
    </w:lvl>
    <w:lvl w:ilvl="7" w:tplc="041A0003" w:tentative="1">
      <w:start w:val="1"/>
      <w:numFmt w:val="bullet"/>
      <w:lvlText w:val="o"/>
      <w:lvlJc w:val="left"/>
      <w:pPr>
        <w:ind w:left="6780" w:hanging="360"/>
      </w:pPr>
      <w:rPr>
        <w:rFonts w:ascii="Courier New" w:hAnsi="Courier New" w:cs="Courier New" w:hint="default"/>
      </w:rPr>
    </w:lvl>
    <w:lvl w:ilvl="8" w:tplc="041A0005" w:tentative="1">
      <w:start w:val="1"/>
      <w:numFmt w:val="bullet"/>
      <w:lvlText w:val=""/>
      <w:lvlJc w:val="left"/>
      <w:pPr>
        <w:ind w:left="7500" w:hanging="360"/>
      </w:pPr>
      <w:rPr>
        <w:rFonts w:ascii="Wingdings" w:hAnsi="Wingdings" w:hint="default"/>
      </w:rPr>
    </w:lvl>
  </w:abstractNum>
  <w:abstractNum w:abstractNumId="10" w15:restartNumberingAfterBreak="0">
    <w:nsid w:val="160F66A3"/>
    <w:multiLevelType w:val="hybridMultilevel"/>
    <w:tmpl w:val="A28204AE"/>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162662A7"/>
    <w:multiLevelType w:val="hybridMultilevel"/>
    <w:tmpl w:val="017C2E2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A09059C"/>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1A4E4896"/>
    <w:multiLevelType w:val="hybridMultilevel"/>
    <w:tmpl w:val="138C4A62"/>
    <w:lvl w:ilvl="0" w:tplc="4ED4A2CC">
      <w:numFmt w:val="bullet"/>
      <w:lvlText w:val="-"/>
      <w:lvlJc w:val="left"/>
      <w:pPr>
        <w:ind w:left="720" w:hanging="360"/>
      </w:pPr>
      <w:rPr>
        <w:rFonts w:ascii="Calibri" w:eastAsia="Times New Roman"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1DFF0628"/>
    <w:multiLevelType w:val="hybridMultilevel"/>
    <w:tmpl w:val="9B64FB2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1C8252D"/>
    <w:multiLevelType w:val="hybridMultilevel"/>
    <w:tmpl w:val="DF461446"/>
    <w:lvl w:ilvl="0" w:tplc="041A000B">
      <w:start w:val="1"/>
      <w:numFmt w:val="bullet"/>
      <w:lvlText w:val=""/>
      <w:lvlJc w:val="left"/>
      <w:pPr>
        <w:ind w:left="770" w:hanging="360"/>
      </w:pPr>
      <w:rPr>
        <w:rFonts w:ascii="Wingdings" w:hAnsi="Wingdings" w:hint="default"/>
      </w:rPr>
    </w:lvl>
    <w:lvl w:ilvl="1" w:tplc="041A0003" w:tentative="1">
      <w:start w:val="1"/>
      <w:numFmt w:val="bullet"/>
      <w:lvlText w:val="o"/>
      <w:lvlJc w:val="left"/>
      <w:pPr>
        <w:ind w:left="1490" w:hanging="360"/>
      </w:pPr>
      <w:rPr>
        <w:rFonts w:ascii="Courier New" w:hAnsi="Courier New" w:cs="Courier New" w:hint="default"/>
      </w:rPr>
    </w:lvl>
    <w:lvl w:ilvl="2" w:tplc="041A0005" w:tentative="1">
      <w:start w:val="1"/>
      <w:numFmt w:val="bullet"/>
      <w:lvlText w:val=""/>
      <w:lvlJc w:val="left"/>
      <w:pPr>
        <w:ind w:left="2210" w:hanging="360"/>
      </w:pPr>
      <w:rPr>
        <w:rFonts w:ascii="Wingdings" w:hAnsi="Wingdings" w:hint="default"/>
      </w:rPr>
    </w:lvl>
    <w:lvl w:ilvl="3" w:tplc="041A0001" w:tentative="1">
      <w:start w:val="1"/>
      <w:numFmt w:val="bullet"/>
      <w:lvlText w:val=""/>
      <w:lvlJc w:val="left"/>
      <w:pPr>
        <w:ind w:left="2930" w:hanging="360"/>
      </w:pPr>
      <w:rPr>
        <w:rFonts w:ascii="Symbol" w:hAnsi="Symbol" w:hint="default"/>
      </w:rPr>
    </w:lvl>
    <w:lvl w:ilvl="4" w:tplc="041A0003" w:tentative="1">
      <w:start w:val="1"/>
      <w:numFmt w:val="bullet"/>
      <w:lvlText w:val="o"/>
      <w:lvlJc w:val="left"/>
      <w:pPr>
        <w:ind w:left="3650" w:hanging="360"/>
      </w:pPr>
      <w:rPr>
        <w:rFonts w:ascii="Courier New" w:hAnsi="Courier New" w:cs="Courier New" w:hint="default"/>
      </w:rPr>
    </w:lvl>
    <w:lvl w:ilvl="5" w:tplc="041A0005" w:tentative="1">
      <w:start w:val="1"/>
      <w:numFmt w:val="bullet"/>
      <w:lvlText w:val=""/>
      <w:lvlJc w:val="left"/>
      <w:pPr>
        <w:ind w:left="4370" w:hanging="360"/>
      </w:pPr>
      <w:rPr>
        <w:rFonts w:ascii="Wingdings" w:hAnsi="Wingdings" w:hint="default"/>
      </w:rPr>
    </w:lvl>
    <w:lvl w:ilvl="6" w:tplc="041A0001" w:tentative="1">
      <w:start w:val="1"/>
      <w:numFmt w:val="bullet"/>
      <w:lvlText w:val=""/>
      <w:lvlJc w:val="left"/>
      <w:pPr>
        <w:ind w:left="5090" w:hanging="360"/>
      </w:pPr>
      <w:rPr>
        <w:rFonts w:ascii="Symbol" w:hAnsi="Symbol" w:hint="default"/>
      </w:rPr>
    </w:lvl>
    <w:lvl w:ilvl="7" w:tplc="041A0003" w:tentative="1">
      <w:start w:val="1"/>
      <w:numFmt w:val="bullet"/>
      <w:lvlText w:val="o"/>
      <w:lvlJc w:val="left"/>
      <w:pPr>
        <w:ind w:left="5810" w:hanging="360"/>
      </w:pPr>
      <w:rPr>
        <w:rFonts w:ascii="Courier New" w:hAnsi="Courier New" w:cs="Courier New" w:hint="default"/>
      </w:rPr>
    </w:lvl>
    <w:lvl w:ilvl="8" w:tplc="041A0005" w:tentative="1">
      <w:start w:val="1"/>
      <w:numFmt w:val="bullet"/>
      <w:lvlText w:val=""/>
      <w:lvlJc w:val="left"/>
      <w:pPr>
        <w:ind w:left="6530" w:hanging="360"/>
      </w:pPr>
      <w:rPr>
        <w:rFonts w:ascii="Wingdings" w:hAnsi="Wingdings" w:hint="default"/>
      </w:rPr>
    </w:lvl>
  </w:abstractNum>
  <w:abstractNum w:abstractNumId="16" w15:restartNumberingAfterBreak="0">
    <w:nsid w:val="22223522"/>
    <w:multiLevelType w:val="hybridMultilevel"/>
    <w:tmpl w:val="ADDEC73E"/>
    <w:lvl w:ilvl="0" w:tplc="041A000B">
      <w:start w:val="1"/>
      <w:numFmt w:val="bullet"/>
      <w:lvlText w:val=""/>
      <w:lvlJc w:val="left"/>
      <w:pPr>
        <w:ind w:left="644" w:hanging="360"/>
      </w:pPr>
      <w:rPr>
        <w:rFonts w:ascii="Wingdings" w:hAnsi="Wingdings" w:hint="default"/>
      </w:rPr>
    </w:lvl>
    <w:lvl w:ilvl="1" w:tplc="041A0003" w:tentative="1">
      <w:start w:val="1"/>
      <w:numFmt w:val="bullet"/>
      <w:lvlText w:val="o"/>
      <w:lvlJc w:val="left"/>
      <w:pPr>
        <w:ind w:left="1364" w:hanging="360"/>
      </w:pPr>
      <w:rPr>
        <w:rFonts w:ascii="Courier New" w:hAnsi="Courier New" w:cs="Courier New" w:hint="default"/>
      </w:rPr>
    </w:lvl>
    <w:lvl w:ilvl="2" w:tplc="041A0005" w:tentative="1">
      <w:start w:val="1"/>
      <w:numFmt w:val="bullet"/>
      <w:lvlText w:val=""/>
      <w:lvlJc w:val="left"/>
      <w:pPr>
        <w:ind w:left="2084" w:hanging="360"/>
      </w:pPr>
      <w:rPr>
        <w:rFonts w:ascii="Wingdings" w:hAnsi="Wingdings" w:hint="default"/>
      </w:rPr>
    </w:lvl>
    <w:lvl w:ilvl="3" w:tplc="041A0001" w:tentative="1">
      <w:start w:val="1"/>
      <w:numFmt w:val="bullet"/>
      <w:lvlText w:val=""/>
      <w:lvlJc w:val="left"/>
      <w:pPr>
        <w:ind w:left="2804" w:hanging="360"/>
      </w:pPr>
      <w:rPr>
        <w:rFonts w:ascii="Symbol" w:hAnsi="Symbol" w:hint="default"/>
      </w:rPr>
    </w:lvl>
    <w:lvl w:ilvl="4" w:tplc="041A0003" w:tentative="1">
      <w:start w:val="1"/>
      <w:numFmt w:val="bullet"/>
      <w:lvlText w:val="o"/>
      <w:lvlJc w:val="left"/>
      <w:pPr>
        <w:ind w:left="3524" w:hanging="360"/>
      </w:pPr>
      <w:rPr>
        <w:rFonts w:ascii="Courier New" w:hAnsi="Courier New" w:cs="Courier New" w:hint="default"/>
      </w:rPr>
    </w:lvl>
    <w:lvl w:ilvl="5" w:tplc="041A0005" w:tentative="1">
      <w:start w:val="1"/>
      <w:numFmt w:val="bullet"/>
      <w:lvlText w:val=""/>
      <w:lvlJc w:val="left"/>
      <w:pPr>
        <w:ind w:left="4244" w:hanging="360"/>
      </w:pPr>
      <w:rPr>
        <w:rFonts w:ascii="Wingdings" w:hAnsi="Wingdings" w:hint="default"/>
      </w:rPr>
    </w:lvl>
    <w:lvl w:ilvl="6" w:tplc="041A0001" w:tentative="1">
      <w:start w:val="1"/>
      <w:numFmt w:val="bullet"/>
      <w:lvlText w:val=""/>
      <w:lvlJc w:val="left"/>
      <w:pPr>
        <w:ind w:left="4964" w:hanging="360"/>
      </w:pPr>
      <w:rPr>
        <w:rFonts w:ascii="Symbol" w:hAnsi="Symbol" w:hint="default"/>
      </w:rPr>
    </w:lvl>
    <w:lvl w:ilvl="7" w:tplc="041A0003" w:tentative="1">
      <w:start w:val="1"/>
      <w:numFmt w:val="bullet"/>
      <w:lvlText w:val="o"/>
      <w:lvlJc w:val="left"/>
      <w:pPr>
        <w:ind w:left="5684" w:hanging="360"/>
      </w:pPr>
      <w:rPr>
        <w:rFonts w:ascii="Courier New" w:hAnsi="Courier New" w:cs="Courier New" w:hint="default"/>
      </w:rPr>
    </w:lvl>
    <w:lvl w:ilvl="8" w:tplc="041A0005" w:tentative="1">
      <w:start w:val="1"/>
      <w:numFmt w:val="bullet"/>
      <w:lvlText w:val=""/>
      <w:lvlJc w:val="left"/>
      <w:pPr>
        <w:ind w:left="6404" w:hanging="360"/>
      </w:pPr>
      <w:rPr>
        <w:rFonts w:ascii="Wingdings" w:hAnsi="Wingdings" w:hint="default"/>
      </w:rPr>
    </w:lvl>
  </w:abstractNum>
  <w:abstractNum w:abstractNumId="17" w15:restartNumberingAfterBreak="0">
    <w:nsid w:val="23052158"/>
    <w:multiLevelType w:val="hybridMultilevel"/>
    <w:tmpl w:val="DDEEB6E2"/>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2D972562"/>
    <w:multiLevelType w:val="hybridMultilevel"/>
    <w:tmpl w:val="D0DC38C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24B1AD8"/>
    <w:multiLevelType w:val="hybridMultilevel"/>
    <w:tmpl w:val="ADB0C71C"/>
    <w:lvl w:ilvl="0" w:tplc="041A000B">
      <w:start w:val="1"/>
      <w:numFmt w:val="bullet"/>
      <w:lvlText w:val=""/>
      <w:lvlJc w:val="left"/>
      <w:pPr>
        <w:ind w:left="644" w:hanging="360"/>
      </w:pPr>
      <w:rPr>
        <w:rFonts w:ascii="Wingdings" w:hAnsi="Wingdings" w:hint="default"/>
      </w:rPr>
    </w:lvl>
    <w:lvl w:ilvl="1" w:tplc="041A0003" w:tentative="1">
      <w:start w:val="1"/>
      <w:numFmt w:val="bullet"/>
      <w:lvlText w:val="o"/>
      <w:lvlJc w:val="left"/>
      <w:pPr>
        <w:ind w:left="1364" w:hanging="360"/>
      </w:pPr>
      <w:rPr>
        <w:rFonts w:ascii="Courier New" w:hAnsi="Courier New" w:cs="Courier New" w:hint="default"/>
      </w:rPr>
    </w:lvl>
    <w:lvl w:ilvl="2" w:tplc="041A0005" w:tentative="1">
      <w:start w:val="1"/>
      <w:numFmt w:val="bullet"/>
      <w:lvlText w:val=""/>
      <w:lvlJc w:val="left"/>
      <w:pPr>
        <w:ind w:left="2084" w:hanging="360"/>
      </w:pPr>
      <w:rPr>
        <w:rFonts w:ascii="Wingdings" w:hAnsi="Wingdings" w:hint="default"/>
      </w:rPr>
    </w:lvl>
    <w:lvl w:ilvl="3" w:tplc="041A0001" w:tentative="1">
      <w:start w:val="1"/>
      <w:numFmt w:val="bullet"/>
      <w:lvlText w:val=""/>
      <w:lvlJc w:val="left"/>
      <w:pPr>
        <w:ind w:left="2804" w:hanging="360"/>
      </w:pPr>
      <w:rPr>
        <w:rFonts w:ascii="Symbol" w:hAnsi="Symbol" w:hint="default"/>
      </w:rPr>
    </w:lvl>
    <w:lvl w:ilvl="4" w:tplc="041A0003" w:tentative="1">
      <w:start w:val="1"/>
      <w:numFmt w:val="bullet"/>
      <w:lvlText w:val="o"/>
      <w:lvlJc w:val="left"/>
      <w:pPr>
        <w:ind w:left="3524" w:hanging="360"/>
      </w:pPr>
      <w:rPr>
        <w:rFonts w:ascii="Courier New" w:hAnsi="Courier New" w:cs="Courier New" w:hint="default"/>
      </w:rPr>
    </w:lvl>
    <w:lvl w:ilvl="5" w:tplc="041A0005" w:tentative="1">
      <w:start w:val="1"/>
      <w:numFmt w:val="bullet"/>
      <w:lvlText w:val=""/>
      <w:lvlJc w:val="left"/>
      <w:pPr>
        <w:ind w:left="4244" w:hanging="360"/>
      </w:pPr>
      <w:rPr>
        <w:rFonts w:ascii="Wingdings" w:hAnsi="Wingdings" w:hint="default"/>
      </w:rPr>
    </w:lvl>
    <w:lvl w:ilvl="6" w:tplc="041A0001" w:tentative="1">
      <w:start w:val="1"/>
      <w:numFmt w:val="bullet"/>
      <w:lvlText w:val=""/>
      <w:lvlJc w:val="left"/>
      <w:pPr>
        <w:ind w:left="4964" w:hanging="360"/>
      </w:pPr>
      <w:rPr>
        <w:rFonts w:ascii="Symbol" w:hAnsi="Symbol" w:hint="default"/>
      </w:rPr>
    </w:lvl>
    <w:lvl w:ilvl="7" w:tplc="041A0003" w:tentative="1">
      <w:start w:val="1"/>
      <w:numFmt w:val="bullet"/>
      <w:lvlText w:val="o"/>
      <w:lvlJc w:val="left"/>
      <w:pPr>
        <w:ind w:left="5684" w:hanging="360"/>
      </w:pPr>
      <w:rPr>
        <w:rFonts w:ascii="Courier New" w:hAnsi="Courier New" w:cs="Courier New" w:hint="default"/>
      </w:rPr>
    </w:lvl>
    <w:lvl w:ilvl="8" w:tplc="041A0005" w:tentative="1">
      <w:start w:val="1"/>
      <w:numFmt w:val="bullet"/>
      <w:lvlText w:val=""/>
      <w:lvlJc w:val="left"/>
      <w:pPr>
        <w:ind w:left="6404" w:hanging="360"/>
      </w:pPr>
      <w:rPr>
        <w:rFonts w:ascii="Wingdings" w:hAnsi="Wingdings" w:hint="default"/>
      </w:rPr>
    </w:lvl>
  </w:abstractNum>
  <w:abstractNum w:abstractNumId="20" w15:restartNumberingAfterBreak="0">
    <w:nsid w:val="3349483B"/>
    <w:multiLevelType w:val="hybridMultilevel"/>
    <w:tmpl w:val="F982979C"/>
    <w:lvl w:ilvl="0" w:tplc="AC04A964">
      <w:start w:val="404"/>
      <w:numFmt w:val="bullet"/>
      <w:lvlText w:val="-"/>
      <w:lvlJc w:val="left"/>
      <w:pPr>
        <w:ind w:left="1330" w:hanging="360"/>
      </w:pPr>
      <w:rPr>
        <w:rFonts w:ascii="Calibri" w:eastAsia="Times New Roman" w:hAnsi="Calibri" w:cs="Calibri" w:hint="default"/>
      </w:rPr>
    </w:lvl>
    <w:lvl w:ilvl="1" w:tplc="041A0003" w:tentative="1">
      <w:start w:val="1"/>
      <w:numFmt w:val="bullet"/>
      <w:lvlText w:val="o"/>
      <w:lvlJc w:val="left"/>
      <w:pPr>
        <w:ind w:left="2050" w:hanging="360"/>
      </w:pPr>
      <w:rPr>
        <w:rFonts w:ascii="Courier New" w:hAnsi="Courier New" w:cs="Courier New" w:hint="default"/>
      </w:rPr>
    </w:lvl>
    <w:lvl w:ilvl="2" w:tplc="041A0005" w:tentative="1">
      <w:start w:val="1"/>
      <w:numFmt w:val="bullet"/>
      <w:lvlText w:val=""/>
      <w:lvlJc w:val="left"/>
      <w:pPr>
        <w:ind w:left="2770" w:hanging="360"/>
      </w:pPr>
      <w:rPr>
        <w:rFonts w:ascii="Wingdings" w:hAnsi="Wingdings" w:hint="default"/>
      </w:rPr>
    </w:lvl>
    <w:lvl w:ilvl="3" w:tplc="041A0001" w:tentative="1">
      <w:start w:val="1"/>
      <w:numFmt w:val="bullet"/>
      <w:lvlText w:val=""/>
      <w:lvlJc w:val="left"/>
      <w:pPr>
        <w:ind w:left="3490" w:hanging="360"/>
      </w:pPr>
      <w:rPr>
        <w:rFonts w:ascii="Symbol" w:hAnsi="Symbol" w:hint="default"/>
      </w:rPr>
    </w:lvl>
    <w:lvl w:ilvl="4" w:tplc="041A0003" w:tentative="1">
      <w:start w:val="1"/>
      <w:numFmt w:val="bullet"/>
      <w:lvlText w:val="o"/>
      <w:lvlJc w:val="left"/>
      <w:pPr>
        <w:ind w:left="4210" w:hanging="360"/>
      </w:pPr>
      <w:rPr>
        <w:rFonts w:ascii="Courier New" w:hAnsi="Courier New" w:cs="Courier New" w:hint="default"/>
      </w:rPr>
    </w:lvl>
    <w:lvl w:ilvl="5" w:tplc="041A0005" w:tentative="1">
      <w:start w:val="1"/>
      <w:numFmt w:val="bullet"/>
      <w:lvlText w:val=""/>
      <w:lvlJc w:val="left"/>
      <w:pPr>
        <w:ind w:left="4930" w:hanging="360"/>
      </w:pPr>
      <w:rPr>
        <w:rFonts w:ascii="Wingdings" w:hAnsi="Wingdings" w:hint="default"/>
      </w:rPr>
    </w:lvl>
    <w:lvl w:ilvl="6" w:tplc="041A0001" w:tentative="1">
      <w:start w:val="1"/>
      <w:numFmt w:val="bullet"/>
      <w:lvlText w:val=""/>
      <w:lvlJc w:val="left"/>
      <w:pPr>
        <w:ind w:left="5650" w:hanging="360"/>
      </w:pPr>
      <w:rPr>
        <w:rFonts w:ascii="Symbol" w:hAnsi="Symbol" w:hint="default"/>
      </w:rPr>
    </w:lvl>
    <w:lvl w:ilvl="7" w:tplc="041A0003" w:tentative="1">
      <w:start w:val="1"/>
      <w:numFmt w:val="bullet"/>
      <w:lvlText w:val="o"/>
      <w:lvlJc w:val="left"/>
      <w:pPr>
        <w:ind w:left="6370" w:hanging="360"/>
      </w:pPr>
      <w:rPr>
        <w:rFonts w:ascii="Courier New" w:hAnsi="Courier New" w:cs="Courier New" w:hint="default"/>
      </w:rPr>
    </w:lvl>
    <w:lvl w:ilvl="8" w:tplc="041A0005" w:tentative="1">
      <w:start w:val="1"/>
      <w:numFmt w:val="bullet"/>
      <w:lvlText w:val=""/>
      <w:lvlJc w:val="left"/>
      <w:pPr>
        <w:ind w:left="7090" w:hanging="360"/>
      </w:pPr>
      <w:rPr>
        <w:rFonts w:ascii="Wingdings" w:hAnsi="Wingdings" w:hint="default"/>
      </w:rPr>
    </w:lvl>
  </w:abstractNum>
  <w:abstractNum w:abstractNumId="21" w15:restartNumberingAfterBreak="0">
    <w:nsid w:val="34391AA9"/>
    <w:multiLevelType w:val="hybridMultilevel"/>
    <w:tmpl w:val="E6C479EA"/>
    <w:lvl w:ilvl="0" w:tplc="041A000B">
      <w:start w:val="1"/>
      <w:numFmt w:val="bullet"/>
      <w:lvlText w:val=""/>
      <w:lvlJc w:val="left"/>
      <w:pPr>
        <w:ind w:left="780" w:hanging="360"/>
      </w:pPr>
      <w:rPr>
        <w:rFonts w:ascii="Wingdings" w:hAnsi="Wingdings"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22" w15:restartNumberingAfterBreak="0">
    <w:nsid w:val="37683D6D"/>
    <w:multiLevelType w:val="hybridMultilevel"/>
    <w:tmpl w:val="DC82EB00"/>
    <w:lvl w:ilvl="0" w:tplc="D67C0C50">
      <w:start w:val="1"/>
      <w:numFmt w:val="bullet"/>
      <w:lvlText w:val="-"/>
      <w:lvlJc w:val="left"/>
      <w:pPr>
        <w:ind w:left="1080" w:hanging="360"/>
      </w:pPr>
      <w:rPr>
        <w:rFonts w:ascii="Calibri" w:eastAsia="Times New Roman" w:hAnsi="Calibri" w:cs="Calibr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3" w15:restartNumberingAfterBreak="0">
    <w:nsid w:val="38695E95"/>
    <w:multiLevelType w:val="hybridMultilevel"/>
    <w:tmpl w:val="FA449B22"/>
    <w:lvl w:ilvl="0" w:tplc="FA96F6DC">
      <w:start w:val="1"/>
      <w:numFmt w:val="bullet"/>
      <w:lvlText w:val=""/>
      <w:lvlJc w:val="left"/>
      <w:pPr>
        <w:ind w:left="780" w:hanging="360"/>
      </w:pPr>
      <w:rPr>
        <w:rFonts w:ascii="Wingdings" w:hAnsi="Wingdings" w:hint="default"/>
        <w:color w:val="000000" w:themeColor="text1"/>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24" w15:restartNumberingAfterBreak="0">
    <w:nsid w:val="39C332BA"/>
    <w:multiLevelType w:val="hybridMultilevel"/>
    <w:tmpl w:val="B09A9092"/>
    <w:lvl w:ilvl="0" w:tplc="041A000B">
      <w:start w:val="1"/>
      <w:numFmt w:val="bullet"/>
      <w:lvlText w:val=""/>
      <w:lvlJc w:val="left"/>
      <w:pPr>
        <w:ind w:left="780" w:hanging="360"/>
      </w:pPr>
      <w:rPr>
        <w:rFonts w:ascii="Wingdings" w:hAnsi="Wingdings"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25" w15:restartNumberingAfterBreak="0">
    <w:nsid w:val="4A0F78C5"/>
    <w:multiLevelType w:val="singleLevel"/>
    <w:tmpl w:val="0809000F"/>
    <w:lvl w:ilvl="0">
      <w:start w:val="1"/>
      <w:numFmt w:val="decimal"/>
      <w:lvlText w:val="%1."/>
      <w:legacy w:legacy="1" w:legacySpace="0" w:legacyIndent="360"/>
      <w:lvlJc w:val="left"/>
      <w:pPr>
        <w:ind w:left="360" w:hanging="360"/>
      </w:pPr>
    </w:lvl>
  </w:abstractNum>
  <w:abstractNum w:abstractNumId="26" w15:restartNumberingAfterBreak="0">
    <w:nsid w:val="4EE736E8"/>
    <w:multiLevelType w:val="hybridMultilevel"/>
    <w:tmpl w:val="8D7AEFE0"/>
    <w:lvl w:ilvl="0" w:tplc="5D02A708">
      <w:start w:val="404"/>
      <w:numFmt w:val="bullet"/>
      <w:lvlText w:val="-"/>
      <w:lvlJc w:val="left"/>
      <w:pPr>
        <w:ind w:left="1080" w:hanging="360"/>
      </w:pPr>
      <w:rPr>
        <w:rFonts w:ascii="Calibri" w:eastAsia="Times New Roman" w:hAnsi="Calibri" w:cs="Calibr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7" w15:restartNumberingAfterBreak="0">
    <w:nsid w:val="4F4D75B9"/>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28" w15:restartNumberingAfterBreak="0">
    <w:nsid w:val="5350773E"/>
    <w:multiLevelType w:val="hybridMultilevel"/>
    <w:tmpl w:val="AD644CBA"/>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54BE49C3"/>
    <w:multiLevelType w:val="hybridMultilevel"/>
    <w:tmpl w:val="13003B0E"/>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56F24EFC"/>
    <w:multiLevelType w:val="hybridMultilevel"/>
    <w:tmpl w:val="DF9AD95E"/>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592D6100"/>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32" w15:restartNumberingAfterBreak="0">
    <w:nsid w:val="5F660908"/>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33" w15:restartNumberingAfterBreak="0">
    <w:nsid w:val="61C22B2D"/>
    <w:multiLevelType w:val="hybridMultilevel"/>
    <w:tmpl w:val="2032937C"/>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672C4BE8"/>
    <w:multiLevelType w:val="hybridMultilevel"/>
    <w:tmpl w:val="9AC4F164"/>
    <w:lvl w:ilvl="0" w:tplc="041A000B">
      <w:start w:val="1"/>
      <w:numFmt w:val="bullet"/>
      <w:lvlText w:val=""/>
      <w:lvlJc w:val="left"/>
      <w:pPr>
        <w:ind w:left="770" w:hanging="360"/>
      </w:pPr>
      <w:rPr>
        <w:rFonts w:ascii="Wingdings" w:hAnsi="Wingdings" w:hint="default"/>
      </w:rPr>
    </w:lvl>
    <w:lvl w:ilvl="1" w:tplc="041A0003" w:tentative="1">
      <w:start w:val="1"/>
      <w:numFmt w:val="bullet"/>
      <w:lvlText w:val="o"/>
      <w:lvlJc w:val="left"/>
      <w:pPr>
        <w:ind w:left="1490" w:hanging="360"/>
      </w:pPr>
      <w:rPr>
        <w:rFonts w:ascii="Courier New" w:hAnsi="Courier New" w:cs="Courier New" w:hint="default"/>
      </w:rPr>
    </w:lvl>
    <w:lvl w:ilvl="2" w:tplc="041A0005" w:tentative="1">
      <w:start w:val="1"/>
      <w:numFmt w:val="bullet"/>
      <w:lvlText w:val=""/>
      <w:lvlJc w:val="left"/>
      <w:pPr>
        <w:ind w:left="2210" w:hanging="360"/>
      </w:pPr>
      <w:rPr>
        <w:rFonts w:ascii="Wingdings" w:hAnsi="Wingdings" w:hint="default"/>
      </w:rPr>
    </w:lvl>
    <w:lvl w:ilvl="3" w:tplc="041A0001" w:tentative="1">
      <w:start w:val="1"/>
      <w:numFmt w:val="bullet"/>
      <w:lvlText w:val=""/>
      <w:lvlJc w:val="left"/>
      <w:pPr>
        <w:ind w:left="2930" w:hanging="360"/>
      </w:pPr>
      <w:rPr>
        <w:rFonts w:ascii="Symbol" w:hAnsi="Symbol" w:hint="default"/>
      </w:rPr>
    </w:lvl>
    <w:lvl w:ilvl="4" w:tplc="041A0003" w:tentative="1">
      <w:start w:val="1"/>
      <w:numFmt w:val="bullet"/>
      <w:lvlText w:val="o"/>
      <w:lvlJc w:val="left"/>
      <w:pPr>
        <w:ind w:left="3650" w:hanging="360"/>
      </w:pPr>
      <w:rPr>
        <w:rFonts w:ascii="Courier New" w:hAnsi="Courier New" w:cs="Courier New" w:hint="default"/>
      </w:rPr>
    </w:lvl>
    <w:lvl w:ilvl="5" w:tplc="041A0005" w:tentative="1">
      <w:start w:val="1"/>
      <w:numFmt w:val="bullet"/>
      <w:lvlText w:val=""/>
      <w:lvlJc w:val="left"/>
      <w:pPr>
        <w:ind w:left="4370" w:hanging="360"/>
      </w:pPr>
      <w:rPr>
        <w:rFonts w:ascii="Wingdings" w:hAnsi="Wingdings" w:hint="default"/>
      </w:rPr>
    </w:lvl>
    <w:lvl w:ilvl="6" w:tplc="041A0001" w:tentative="1">
      <w:start w:val="1"/>
      <w:numFmt w:val="bullet"/>
      <w:lvlText w:val=""/>
      <w:lvlJc w:val="left"/>
      <w:pPr>
        <w:ind w:left="5090" w:hanging="360"/>
      </w:pPr>
      <w:rPr>
        <w:rFonts w:ascii="Symbol" w:hAnsi="Symbol" w:hint="default"/>
      </w:rPr>
    </w:lvl>
    <w:lvl w:ilvl="7" w:tplc="041A0003" w:tentative="1">
      <w:start w:val="1"/>
      <w:numFmt w:val="bullet"/>
      <w:lvlText w:val="o"/>
      <w:lvlJc w:val="left"/>
      <w:pPr>
        <w:ind w:left="5810" w:hanging="360"/>
      </w:pPr>
      <w:rPr>
        <w:rFonts w:ascii="Courier New" w:hAnsi="Courier New" w:cs="Courier New" w:hint="default"/>
      </w:rPr>
    </w:lvl>
    <w:lvl w:ilvl="8" w:tplc="041A0005" w:tentative="1">
      <w:start w:val="1"/>
      <w:numFmt w:val="bullet"/>
      <w:lvlText w:val=""/>
      <w:lvlJc w:val="left"/>
      <w:pPr>
        <w:ind w:left="6530" w:hanging="360"/>
      </w:pPr>
      <w:rPr>
        <w:rFonts w:ascii="Wingdings" w:hAnsi="Wingdings" w:hint="default"/>
      </w:rPr>
    </w:lvl>
  </w:abstractNum>
  <w:abstractNum w:abstractNumId="35" w15:restartNumberingAfterBreak="0">
    <w:nsid w:val="6B736EDE"/>
    <w:multiLevelType w:val="hybridMultilevel"/>
    <w:tmpl w:val="306E32CE"/>
    <w:lvl w:ilvl="0" w:tplc="035635D8">
      <w:numFmt w:val="bullet"/>
      <w:lvlText w:val="-"/>
      <w:lvlJc w:val="left"/>
      <w:pPr>
        <w:ind w:left="1800" w:hanging="360"/>
      </w:pPr>
      <w:rPr>
        <w:rFonts w:ascii="Calibri" w:eastAsia="Times New Roman" w:hAnsi="Calibri" w:cs="Calibri" w:hint="default"/>
      </w:rPr>
    </w:lvl>
    <w:lvl w:ilvl="1" w:tplc="041A0003">
      <w:start w:val="1"/>
      <w:numFmt w:val="bullet"/>
      <w:lvlText w:val="o"/>
      <w:lvlJc w:val="left"/>
      <w:pPr>
        <w:ind w:left="2520" w:hanging="360"/>
      </w:pPr>
      <w:rPr>
        <w:rFonts w:ascii="Courier New" w:hAnsi="Courier New" w:cs="Courier New" w:hint="default"/>
      </w:rPr>
    </w:lvl>
    <w:lvl w:ilvl="2" w:tplc="041A0005">
      <w:start w:val="1"/>
      <w:numFmt w:val="bullet"/>
      <w:lvlText w:val=""/>
      <w:lvlJc w:val="left"/>
      <w:pPr>
        <w:ind w:left="3240" w:hanging="360"/>
      </w:pPr>
      <w:rPr>
        <w:rFonts w:ascii="Wingdings" w:hAnsi="Wingdings" w:hint="default"/>
      </w:rPr>
    </w:lvl>
    <w:lvl w:ilvl="3" w:tplc="041A0001">
      <w:start w:val="1"/>
      <w:numFmt w:val="bullet"/>
      <w:lvlText w:val=""/>
      <w:lvlJc w:val="left"/>
      <w:pPr>
        <w:ind w:left="3960" w:hanging="360"/>
      </w:pPr>
      <w:rPr>
        <w:rFonts w:ascii="Symbol" w:hAnsi="Symbol" w:hint="default"/>
      </w:rPr>
    </w:lvl>
    <w:lvl w:ilvl="4" w:tplc="041A0003" w:tentative="1">
      <w:start w:val="1"/>
      <w:numFmt w:val="bullet"/>
      <w:lvlText w:val="o"/>
      <w:lvlJc w:val="left"/>
      <w:pPr>
        <w:ind w:left="4680" w:hanging="360"/>
      </w:pPr>
      <w:rPr>
        <w:rFonts w:ascii="Courier New" w:hAnsi="Courier New" w:cs="Courier New" w:hint="default"/>
      </w:rPr>
    </w:lvl>
    <w:lvl w:ilvl="5" w:tplc="041A0005" w:tentative="1">
      <w:start w:val="1"/>
      <w:numFmt w:val="bullet"/>
      <w:lvlText w:val=""/>
      <w:lvlJc w:val="left"/>
      <w:pPr>
        <w:ind w:left="5400" w:hanging="360"/>
      </w:pPr>
      <w:rPr>
        <w:rFonts w:ascii="Wingdings" w:hAnsi="Wingdings" w:hint="default"/>
      </w:rPr>
    </w:lvl>
    <w:lvl w:ilvl="6" w:tplc="041A0001" w:tentative="1">
      <w:start w:val="1"/>
      <w:numFmt w:val="bullet"/>
      <w:lvlText w:val=""/>
      <w:lvlJc w:val="left"/>
      <w:pPr>
        <w:ind w:left="6120" w:hanging="360"/>
      </w:pPr>
      <w:rPr>
        <w:rFonts w:ascii="Symbol" w:hAnsi="Symbol" w:hint="default"/>
      </w:rPr>
    </w:lvl>
    <w:lvl w:ilvl="7" w:tplc="041A0003" w:tentative="1">
      <w:start w:val="1"/>
      <w:numFmt w:val="bullet"/>
      <w:lvlText w:val="o"/>
      <w:lvlJc w:val="left"/>
      <w:pPr>
        <w:ind w:left="6840" w:hanging="360"/>
      </w:pPr>
      <w:rPr>
        <w:rFonts w:ascii="Courier New" w:hAnsi="Courier New" w:cs="Courier New" w:hint="default"/>
      </w:rPr>
    </w:lvl>
    <w:lvl w:ilvl="8" w:tplc="041A0005" w:tentative="1">
      <w:start w:val="1"/>
      <w:numFmt w:val="bullet"/>
      <w:lvlText w:val=""/>
      <w:lvlJc w:val="left"/>
      <w:pPr>
        <w:ind w:left="7560" w:hanging="360"/>
      </w:pPr>
      <w:rPr>
        <w:rFonts w:ascii="Wingdings" w:hAnsi="Wingdings" w:hint="default"/>
      </w:rPr>
    </w:lvl>
  </w:abstractNum>
  <w:abstractNum w:abstractNumId="36" w15:restartNumberingAfterBreak="0">
    <w:nsid w:val="6CF846DA"/>
    <w:multiLevelType w:val="hybridMultilevel"/>
    <w:tmpl w:val="C7D84F4C"/>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6F0A23D3"/>
    <w:multiLevelType w:val="hybridMultilevel"/>
    <w:tmpl w:val="FE743796"/>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705D6D55"/>
    <w:multiLevelType w:val="hybridMultilevel"/>
    <w:tmpl w:val="36D4E69C"/>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15:restartNumberingAfterBreak="0">
    <w:nsid w:val="7762472D"/>
    <w:multiLevelType w:val="hybridMultilevel"/>
    <w:tmpl w:val="8FA66D10"/>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15:restartNumberingAfterBreak="0">
    <w:nsid w:val="78E40339"/>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41" w15:restartNumberingAfterBreak="0">
    <w:nsid w:val="7D62732D"/>
    <w:multiLevelType w:val="hybridMultilevel"/>
    <w:tmpl w:val="8C562308"/>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2" w15:restartNumberingAfterBreak="0">
    <w:nsid w:val="7D7427BF"/>
    <w:multiLevelType w:val="hybridMultilevel"/>
    <w:tmpl w:val="2E5866A4"/>
    <w:lvl w:ilvl="0" w:tplc="041A000B">
      <w:start w:val="1"/>
      <w:numFmt w:val="bullet"/>
      <w:lvlText w:val=""/>
      <w:lvlJc w:val="left"/>
      <w:pPr>
        <w:ind w:left="780" w:hanging="360"/>
      </w:pPr>
      <w:rPr>
        <w:rFonts w:ascii="Wingdings" w:hAnsi="Wingdings"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num w:numId="1">
    <w:abstractNumId w:val="25"/>
  </w:num>
  <w:num w:numId="2">
    <w:abstractNumId w:val="7"/>
  </w:num>
  <w:num w:numId="3">
    <w:abstractNumId w:val="40"/>
  </w:num>
  <w:num w:numId="4">
    <w:abstractNumId w:val="31"/>
  </w:num>
  <w:num w:numId="5">
    <w:abstractNumId w:val="12"/>
  </w:num>
  <w:num w:numId="6">
    <w:abstractNumId w:val="27"/>
  </w:num>
  <w:num w:numId="7">
    <w:abstractNumId w:val="0"/>
  </w:num>
  <w:num w:numId="8">
    <w:abstractNumId w:val="32"/>
  </w:num>
  <w:num w:numId="9">
    <w:abstractNumId w:val="1"/>
  </w:num>
  <w:num w:numId="10">
    <w:abstractNumId w:val="10"/>
  </w:num>
  <w:num w:numId="11">
    <w:abstractNumId w:val="39"/>
  </w:num>
  <w:num w:numId="12">
    <w:abstractNumId w:val="23"/>
  </w:num>
  <w:num w:numId="13">
    <w:abstractNumId w:val="19"/>
  </w:num>
  <w:num w:numId="14">
    <w:abstractNumId w:val="35"/>
  </w:num>
  <w:num w:numId="15">
    <w:abstractNumId w:val="24"/>
  </w:num>
  <w:num w:numId="16">
    <w:abstractNumId w:val="41"/>
  </w:num>
  <w:num w:numId="17">
    <w:abstractNumId w:val="9"/>
  </w:num>
  <w:num w:numId="18">
    <w:abstractNumId w:val="13"/>
  </w:num>
  <w:num w:numId="19">
    <w:abstractNumId w:val="15"/>
  </w:num>
  <w:num w:numId="20">
    <w:abstractNumId w:val="17"/>
  </w:num>
  <w:num w:numId="21">
    <w:abstractNumId w:val="28"/>
  </w:num>
  <w:num w:numId="22">
    <w:abstractNumId w:val="8"/>
  </w:num>
  <w:num w:numId="23">
    <w:abstractNumId w:val="3"/>
  </w:num>
  <w:num w:numId="24">
    <w:abstractNumId w:val="33"/>
  </w:num>
  <w:num w:numId="25">
    <w:abstractNumId w:val="34"/>
  </w:num>
  <w:num w:numId="26">
    <w:abstractNumId w:val="2"/>
  </w:num>
  <w:num w:numId="27">
    <w:abstractNumId w:val="5"/>
  </w:num>
  <w:num w:numId="28">
    <w:abstractNumId w:val="6"/>
  </w:num>
  <w:num w:numId="29">
    <w:abstractNumId w:val="21"/>
  </w:num>
  <w:num w:numId="30">
    <w:abstractNumId w:val="30"/>
  </w:num>
  <w:num w:numId="31">
    <w:abstractNumId w:val="4"/>
  </w:num>
  <w:num w:numId="32">
    <w:abstractNumId w:val="36"/>
  </w:num>
  <w:num w:numId="33">
    <w:abstractNumId w:val="29"/>
  </w:num>
  <w:num w:numId="34">
    <w:abstractNumId w:val="38"/>
  </w:num>
  <w:num w:numId="35">
    <w:abstractNumId w:val="16"/>
  </w:num>
  <w:num w:numId="36">
    <w:abstractNumId w:val="42"/>
  </w:num>
  <w:num w:numId="37">
    <w:abstractNumId w:val="37"/>
  </w:num>
  <w:num w:numId="38">
    <w:abstractNumId w:val="22"/>
  </w:num>
  <w:num w:numId="39">
    <w:abstractNumId w:val="26"/>
  </w:num>
  <w:num w:numId="40">
    <w:abstractNumId w:val="20"/>
  </w:num>
  <w:num w:numId="41">
    <w:abstractNumId w:val="18"/>
  </w:num>
  <w:num w:numId="42">
    <w:abstractNumId w:val="14"/>
  </w:num>
  <w:num w:numId="43">
    <w:abstractNumId w:val="1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D38"/>
    <w:rsid w:val="0000116A"/>
    <w:rsid w:val="00001C8A"/>
    <w:rsid w:val="00002AA8"/>
    <w:rsid w:val="00002FF7"/>
    <w:rsid w:val="000038E2"/>
    <w:rsid w:val="00003E63"/>
    <w:rsid w:val="0001136A"/>
    <w:rsid w:val="00011DA6"/>
    <w:rsid w:val="00013B6B"/>
    <w:rsid w:val="00014986"/>
    <w:rsid w:val="00015DDA"/>
    <w:rsid w:val="00015F7A"/>
    <w:rsid w:val="00016BC3"/>
    <w:rsid w:val="0002123B"/>
    <w:rsid w:val="0002424D"/>
    <w:rsid w:val="0002684E"/>
    <w:rsid w:val="0002742D"/>
    <w:rsid w:val="000309E4"/>
    <w:rsid w:val="00030C24"/>
    <w:rsid w:val="00033288"/>
    <w:rsid w:val="0003368C"/>
    <w:rsid w:val="00035468"/>
    <w:rsid w:val="00037106"/>
    <w:rsid w:val="00037194"/>
    <w:rsid w:val="00037B86"/>
    <w:rsid w:val="00040327"/>
    <w:rsid w:val="00041052"/>
    <w:rsid w:val="000439A5"/>
    <w:rsid w:val="00043A0A"/>
    <w:rsid w:val="000456CF"/>
    <w:rsid w:val="00045A49"/>
    <w:rsid w:val="00046243"/>
    <w:rsid w:val="0004626A"/>
    <w:rsid w:val="0004629D"/>
    <w:rsid w:val="0004694E"/>
    <w:rsid w:val="00050757"/>
    <w:rsid w:val="0005249C"/>
    <w:rsid w:val="00053AD3"/>
    <w:rsid w:val="00054365"/>
    <w:rsid w:val="00055928"/>
    <w:rsid w:val="0005652C"/>
    <w:rsid w:val="00060C26"/>
    <w:rsid w:val="000612FF"/>
    <w:rsid w:val="00062EF4"/>
    <w:rsid w:val="0006426D"/>
    <w:rsid w:val="00066239"/>
    <w:rsid w:val="00067CB4"/>
    <w:rsid w:val="00073604"/>
    <w:rsid w:val="00076FA3"/>
    <w:rsid w:val="0008173F"/>
    <w:rsid w:val="00083205"/>
    <w:rsid w:val="0008358A"/>
    <w:rsid w:val="00084E85"/>
    <w:rsid w:val="000850B8"/>
    <w:rsid w:val="000860D7"/>
    <w:rsid w:val="00086761"/>
    <w:rsid w:val="0008685A"/>
    <w:rsid w:val="00086B5D"/>
    <w:rsid w:val="00090B14"/>
    <w:rsid w:val="00092F04"/>
    <w:rsid w:val="000931EB"/>
    <w:rsid w:val="00095A01"/>
    <w:rsid w:val="00095ADA"/>
    <w:rsid w:val="00096588"/>
    <w:rsid w:val="00096D43"/>
    <w:rsid w:val="000A1C35"/>
    <w:rsid w:val="000A2B51"/>
    <w:rsid w:val="000A3619"/>
    <w:rsid w:val="000A5CEC"/>
    <w:rsid w:val="000A6AD0"/>
    <w:rsid w:val="000A795F"/>
    <w:rsid w:val="000B2E87"/>
    <w:rsid w:val="000B3953"/>
    <w:rsid w:val="000B3F8D"/>
    <w:rsid w:val="000B5357"/>
    <w:rsid w:val="000B666E"/>
    <w:rsid w:val="000B669B"/>
    <w:rsid w:val="000B6A1C"/>
    <w:rsid w:val="000B6CC6"/>
    <w:rsid w:val="000C04A4"/>
    <w:rsid w:val="000C20CC"/>
    <w:rsid w:val="000D0C10"/>
    <w:rsid w:val="000D1772"/>
    <w:rsid w:val="000D6737"/>
    <w:rsid w:val="000D6E3A"/>
    <w:rsid w:val="000E0C55"/>
    <w:rsid w:val="000E1833"/>
    <w:rsid w:val="000E2FC7"/>
    <w:rsid w:val="000E381D"/>
    <w:rsid w:val="000E5B7A"/>
    <w:rsid w:val="000F12F4"/>
    <w:rsid w:val="000F1F77"/>
    <w:rsid w:val="000F4CA5"/>
    <w:rsid w:val="000F6699"/>
    <w:rsid w:val="00101B5B"/>
    <w:rsid w:val="00101E64"/>
    <w:rsid w:val="00102FF3"/>
    <w:rsid w:val="00103230"/>
    <w:rsid w:val="00106CFF"/>
    <w:rsid w:val="00106FC4"/>
    <w:rsid w:val="0011137D"/>
    <w:rsid w:val="001136AD"/>
    <w:rsid w:val="00114C9C"/>
    <w:rsid w:val="001152C9"/>
    <w:rsid w:val="0011576D"/>
    <w:rsid w:val="00115B95"/>
    <w:rsid w:val="00116BCA"/>
    <w:rsid w:val="00116BCC"/>
    <w:rsid w:val="00116E23"/>
    <w:rsid w:val="001174FA"/>
    <w:rsid w:val="0012176F"/>
    <w:rsid w:val="001218C9"/>
    <w:rsid w:val="00121AD3"/>
    <w:rsid w:val="00123DCC"/>
    <w:rsid w:val="00123EC5"/>
    <w:rsid w:val="00125E78"/>
    <w:rsid w:val="00126FF0"/>
    <w:rsid w:val="0012726D"/>
    <w:rsid w:val="0012771C"/>
    <w:rsid w:val="00130B6F"/>
    <w:rsid w:val="00130D71"/>
    <w:rsid w:val="00131FFB"/>
    <w:rsid w:val="0013409A"/>
    <w:rsid w:val="001368CA"/>
    <w:rsid w:val="00137ADE"/>
    <w:rsid w:val="0014591D"/>
    <w:rsid w:val="00146D9A"/>
    <w:rsid w:val="001474CF"/>
    <w:rsid w:val="00153223"/>
    <w:rsid w:val="00154F9C"/>
    <w:rsid w:val="0015576A"/>
    <w:rsid w:val="001558B7"/>
    <w:rsid w:val="00156B48"/>
    <w:rsid w:val="0016049E"/>
    <w:rsid w:val="00160FCD"/>
    <w:rsid w:val="00161416"/>
    <w:rsid w:val="00162E37"/>
    <w:rsid w:val="00165D3B"/>
    <w:rsid w:val="001718B1"/>
    <w:rsid w:val="0017198F"/>
    <w:rsid w:val="00172843"/>
    <w:rsid w:val="001739A4"/>
    <w:rsid w:val="00174BD4"/>
    <w:rsid w:val="00175CE5"/>
    <w:rsid w:val="00176CCA"/>
    <w:rsid w:val="0017724E"/>
    <w:rsid w:val="00177437"/>
    <w:rsid w:val="001800F0"/>
    <w:rsid w:val="001839BC"/>
    <w:rsid w:val="00184A84"/>
    <w:rsid w:val="00184A96"/>
    <w:rsid w:val="001850B7"/>
    <w:rsid w:val="00186F7C"/>
    <w:rsid w:val="001907D3"/>
    <w:rsid w:val="00191795"/>
    <w:rsid w:val="001919EE"/>
    <w:rsid w:val="00194320"/>
    <w:rsid w:val="00195094"/>
    <w:rsid w:val="001951E7"/>
    <w:rsid w:val="0019556B"/>
    <w:rsid w:val="001A02B4"/>
    <w:rsid w:val="001A1EC5"/>
    <w:rsid w:val="001A385B"/>
    <w:rsid w:val="001A3EAD"/>
    <w:rsid w:val="001A5300"/>
    <w:rsid w:val="001A5CFA"/>
    <w:rsid w:val="001A6E4E"/>
    <w:rsid w:val="001B05F5"/>
    <w:rsid w:val="001B0F06"/>
    <w:rsid w:val="001B1A97"/>
    <w:rsid w:val="001B2020"/>
    <w:rsid w:val="001B2FFC"/>
    <w:rsid w:val="001B3DD7"/>
    <w:rsid w:val="001B4EB8"/>
    <w:rsid w:val="001B5847"/>
    <w:rsid w:val="001B5E0B"/>
    <w:rsid w:val="001B69CA"/>
    <w:rsid w:val="001B7BBD"/>
    <w:rsid w:val="001C1695"/>
    <w:rsid w:val="001C18B4"/>
    <w:rsid w:val="001C39C0"/>
    <w:rsid w:val="001C536F"/>
    <w:rsid w:val="001C61E7"/>
    <w:rsid w:val="001C6D6C"/>
    <w:rsid w:val="001C6D7C"/>
    <w:rsid w:val="001C7D46"/>
    <w:rsid w:val="001D03D6"/>
    <w:rsid w:val="001D4571"/>
    <w:rsid w:val="001D657D"/>
    <w:rsid w:val="001E0234"/>
    <w:rsid w:val="001E0D53"/>
    <w:rsid w:val="001E246B"/>
    <w:rsid w:val="001E2E9B"/>
    <w:rsid w:val="001E3CAE"/>
    <w:rsid w:val="001E6E3E"/>
    <w:rsid w:val="001F2033"/>
    <w:rsid w:val="001F5E33"/>
    <w:rsid w:val="00200A0B"/>
    <w:rsid w:val="00201DB3"/>
    <w:rsid w:val="00204FB3"/>
    <w:rsid w:val="0020547D"/>
    <w:rsid w:val="002056D3"/>
    <w:rsid w:val="00212954"/>
    <w:rsid w:val="00214CFD"/>
    <w:rsid w:val="00215A14"/>
    <w:rsid w:val="00217179"/>
    <w:rsid w:val="002175BB"/>
    <w:rsid w:val="00221B04"/>
    <w:rsid w:val="00223C32"/>
    <w:rsid w:val="002241F0"/>
    <w:rsid w:val="002250AD"/>
    <w:rsid w:val="00225CAF"/>
    <w:rsid w:val="002269E1"/>
    <w:rsid w:val="002274A3"/>
    <w:rsid w:val="00230430"/>
    <w:rsid w:val="0023105B"/>
    <w:rsid w:val="0023109A"/>
    <w:rsid w:val="00232D46"/>
    <w:rsid w:val="0023302D"/>
    <w:rsid w:val="00234682"/>
    <w:rsid w:val="002360F7"/>
    <w:rsid w:val="00236313"/>
    <w:rsid w:val="00236D6A"/>
    <w:rsid w:val="00240A0F"/>
    <w:rsid w:val="00240BC2"/>
    <w:rsid w:val="00240CFF"/>
    <w:rsid w:val="00241726"/>
    <w:rsid w:val="00242322"/>
    <w:rsid w:val="00243623"/>
    <w:rsid w:val="00243B6B"/>
    <w:rsid w:val="00243D97"/>
    <w:rsid w:val="00244AEA"/>
    <w:rsid w:val="002454BB"/>
    <w:rsid w:val="00245940"/>
    <w:rsid w:val="002459B4"/>
    <w:rsid w:val="00246CD4"/>
    <w:rsid w:val="0024706C"/>
    <w:rsid w:val="00247CE7"/>
    <w:rsid w:val="002512C0"/>
    <w:rsid w:val="00253E35"/>
    <w:rsid w:val="002540F6"/>
    <w:rsid w:val="00254E83"/>
    <w:rsid w:val="002558A2"/>
    <w:rsid w:val="00255FE1"/>
    <w:rsid w:val="002560AA"/>
    <w:rsid w:val="0025648D"/>
    <w:rsid w:val="0025737C"/>
    <w:rsid w:val="002602A3"/>
    <w:rsid w:val="00262341"/>
    <w:rsid w:val="00262F1B"/>
    <w:rsid w:val="0026627B"/>
    <w:rsid w:val="00267E73"/>
    <w:rsid w:val="00271D0A"/>
    <w:rsid w:val="0027312B"/>
    <w:rsid w:val="00274C75"/>
    <w:rsid w:val="00281163"/>
    <w:rsid w:val="00284C17"/>
    <w:rsid w:val="00286417"/>
    <w:rsid w:val="00286C8D"/>
    <w:rsid w:val="00286F2D"/>
    <w:rsid w:val="0029115C"/>
    <w:rsid w:val="00291CB6"/>
    <w:rsid w:val="002938F9"/>
    <w:rsid w:val="00296048"/>
    <w:rsid w:val="002A3DAD"/>
    <w:rsid w:val="002A6391"/>
    <w:rsid w:val="002B158E"/>
    <w:rsid w:val="002B2842"/>
    <w:rsid w:val="002B2DAF"/>
    <w:rsid w:val="002B4D32"/>
    <w:rsid w:val="002B4DCD"/>
    <w:rsid w:val="002C0BFA"/>
    <w:rsid w:val="002C1276"/>
    <w:rsid w:val="002C1B65"/>
    <w:rsid w:val="002C220B"/>
    <w:rsid w:val="002C3DD6"/>
    <w:rsid w:val="002C4B2F"/>
    <w:rsid w:val="002C51A9"/>
    <w:rsid w:val="002C6141"/>
    <w:rsid w:val="002C71AE"/>
    <w:rsid w:val="002D34BC"/>
    <w:rsid w:val="002D3BBE"/>
    <w:rsid w:val="002D5C93"/>
    <w:rsid w:val="002D758D"/>
    <w:rsid w:val="002E0CD4"/>
    <w:rsid w:val="002E1C9C"/>
    <w:rsid w:val="002E209E"/>
    <w:rsid w:val="002E2955"/>
    <w:rsid w:val="002E438A"/>
    <w:rsid w:val="002E5CC8"/>
    <w:rsid w:val="002E64B0"/>
    <w:rsid w:val="002F2CEA"/>
    <w:rsid w:val="002F2E65"/>
    <w:rsid w:val="002F6A53"/>
    <w:rsid w:val="003008DD"/>
    <w:rsid w:val="00301196"/>
    <w:rsid w:val="003027FD"/>
    <w:rsid w:val="00305869"/>
    <w:rsid w:val="003103EA"/>
    <w:rsid w:val="00316A2D"/>
    <w:rsid w:val="003204A2"/>
    <w:rsid w:val="00320800"/>
    <w:rsid w:val="0032256C"/>
    <w:rsid w:val="003303E9"/>
    <w:rsid w:val="0033269E"/>
    <w:rsid w:val="003326A4"/>
    <w:rsid w:val="00332930"/>
    <w:rsid w:val="003400CA"/>
    <w:rsid w:val="00342368"/>
    <w:rsid w:val="003423DD"/>
    <w:rsid w:val="00342522"/>
    <w:rsid w:val="003435F6"/>
    <w:rsid w:val="00343A65"/>
    <w:rsid w:val="0034455F"/>
    <w:rsid w:val="00347463"/>
    <w:rsid w:val="00347A12"/>
    <w:rsid w:val="00350D80"/>
    <w:rsid w:val="00350DFD"/>
    <w:rsid w:val="0035134A"/>
    <w:rsid w:val="003538D7"/>
    <w:rsid w:val="00353BE9"/>
    <w:rsid w:val="00354C10"/>
    <w:rsid w:val="00354ED3"/>
    <w:rsid w:val="0035709C"/>
    <w:rsid w:val="0036091D"/>
    <w:rsid w:val="003618B8"/>
    <w:rsid w:val="00362041"/>
    <w:rsid w:val="003646AC"/>
    <w:rsid w:val="003673C8"/>
    <w:rsid w:val="00367F12"/>
    <w:rsid w:val="00370458"/>
    <w:rsid w:val="00371271"/>
    <w:rsid w:val="0037160A"/>
    <w:rsid w:val="00371DF3"/>
    <w:rsid w:val="00372002"/>
    <w:rsid w:val="00372EAE"/>
    <w:rsid w:val="00374E6C"/>
    <w:rsid w:val="003778E7"/>
    <w:rsid w:val="003803FE"/>
    <w:rsid w:val="00380B03"/>
    <w:rsid w:val="00383923"/>
    <w:rsid w:val="003844B5"/>
    <w:rsid w:val="003847B9"/>
    <w:rsid w:val="003853BE"/>
    <w:rsid w:val="00385C7C"/>
    <w:rsid w:val="00386490"/>
    <w:rsid w:val="003878A9"/>
    <w:rsid w:val="0039155D"/>
    <w:rsid w:val="0039233A"/>
    <w:rsid w:val="00392A9C"/>
    <w:rsid w:val="00392F46"/>
    <w:rsid w:val="00393B35"/>
    <w:rsid w:val="00393E12"/>
    <w:rsid w:val="00394B4F"/>
    <w:rsid w:val="00394DDE"/>
    <w:rsid w:val="0039638E"/>
    <w:rsid w:val="00396CAD"/>
    <w:rsid w:val="003A05B4"/>
    <w:rsid w:val="003A30DC"/>
    <w:rsid w:val="003A37AC"/>
    <w:rsid w:val="003A53D0"/>
    <w:rsid w:val="003A6816"/>
    <w:rsid w:val="003B0839"/>
    <w:rsid w:val="003B1AA3"/>
    <w:rsid w:val="003B1B66"/>
    <w:rsid w:val="003B29C6"/>
    <w:rsid w:val="003B2E0E"/>
    <w:rsid w:val="003B5740"/>
    <w:rsid w:val="003B75EE"/>
    <w:rsid w:val="003B7F69"/>
    <w:rsid w:val="003C001A"/>
    <w:rsid w:val="003C08C3"/>
    <w:rsid w:val="003C0DB2"/>
    <w:rsid w:val="003C4100"/>
    <w:rsid w:val="003C630C"/>
    <w:rsid w:val="003C7D2D"/>
    <w:rsid w:val="003D09BC"/>
    <w:rsid w:val="003D0B58"/>
    <w:rsid w:val="003D131F"/>
    <w:rsid w:val="003D47EC"/>
    <w:rsid w:val="003D6179"/>
    <w:rsid w:val="003D79DD"/>
    <w:rsid w:val="003E0B71"/>
    <w:rsid w:val="003E143D"/>
    <w:rsid w:val="003E1682"/>
    <w:rsid w:val="003E2F35"/>
    <w:rsid w:val="003E5101"/>
    <w:rsid w:val="003E5581"/>
    <w:rsid w:val="003F0C1E"/>
    <w:rsid w:val="003F0CDC"/>
    <w:rsid w:val="003F2FDE"/>
    <w:rsid w:val="003F4321"/>
    <w:rsid w:val="003F4AFC"/>
    <w:rsid w:val="003F5131"/>
    <w:rsid w:val="003F5A46"/>
    <w:rsid w:val="003F7D0C"/>
    <w:rsid w:val="00400CFE"/>
    <w:rsid w:val="00405971"/>
    <w:rsid w:val="00406359"/>
    <w:rsid w:val="00410A1C"/>
    <w:rsid w:val="00415A5E"/>
    <w:rsid w:val="004165B3"/>
    <w:rsid w:val="004174DD"/>
    <w:rsid w:val="00420B87"/>
    <w:rsid w:val="00420D4F"/>
    <w:rsid w:val="004259F5"/>
    <w:rsid w:val="004358BD"/>
    <w:rsid w:val="00437CA9"/>
    <w:rsid w:val="00441E83"/>
    <w:rsid w:val="0044206F"/>
    <w:rsid w:val="0044266B"/>
    <w:rsid w:val="00443BFA"/>
    <w:rsid w:val="00447129"/>
    <w:rsid w:val="00447F82"/>
    <w:rsid w:val="00451787"/>
    <w:rsid w:val="0045316D"/>
    <w:rsid w:val="00453F44"/>
    <w:rsid w:val="00454180"/>
    <w:rsid w:val="004556EF"/>
    <w:rsid w:val="0045706A"/>
    <w:rsid w:val="00460A41"/>
    <w:rsid w:val="00464CB8"/>
    <w:rsid w:val="004658FB"/>
    <w:rsid w:val="00466BE4"/>
    <w:rsid w:val="004714FE"/>
    <w:rsid w:val="00471F6D"/>
    <w:rsid w:val="00471FB0"/>
    <w:rsid w:val="00472B03"/>
    <w:rsid w:val="00473F5A"/>
    <w:rsid w:val="00475DE2"/>
    <w:rsid w:val="00475FF3"/>
    <w:rsid w:val="0047657D"/>
    <w:rsid w:val="004770FF"/>
    <w:rsid w:val="004804D1"/>
    <w:rsid w:val="004833BC"/>
    <w:rsid w:val="00483CA2"/>
    <w:rsid w:val="004841EF"/>
    <w:rsid w:val="0048427D"/>
    <w:rsid w:val="00484B8E"/>
    <w:rsid w:val="004861C6"/>
    <w:rsid w:val="00486A2D"/>
    <w:rsid w:val="00487069"/>
    <w:rsid w:val="004877EB"/>
    <w:rsid w:val="004919F9"/>
    <w:rsid w:val="004936AC"/>
    <w:rsid w:val="00494626"/>
    <w:rsid w:val="0049670D"/>
    <w:rsid w:val="00496CA1"/>
    <w:rsid w:val="00497AB1"/>
    <w:rsid w:val="004A0085"/>
    <w:rsid w:val="004A1C1E"/>
    <w:rsid w:val="004A2DE0"/>
    <w:rsid w:val="004A41D6"/>
    <w:rsid w:val="004A44D4"/>
    <w:rsid w:val="004A54A5"/>
    <w:rsid w:val="004A56B9"/>
    <w:rsid w:val="004B4AC2"/>
    <w:rsid w:val="004B5AA9"/>
    <w:rsid w:val="004B7BC5"/>
    <w:rsid w:val="004C1568"/>
    <w:rsid w:val="004C16C1"/>
    <w:rsid w:val="004C4745"/>
    <w:rsid w:val="004C55D7"/>
    <w:rsid w:val="004C6845"/>
    <w:rsid w:val="004C7C2D"/>
    <w:rsid w:val="004C7D36"/>
    <w:rsid w:val="004D1A7A"/>
    <w:rsid w:val="004D1DFE"/>
    <w:rsid w:val="004D259B"/>
    <w:rsid w:val="004D3F23"/>
    <w:rsid w:val="004D67D4"/>
    <w:rsid w:val="004D7F05"/>
    <w:rsid w:val="004D7F17"/>
    <w:rsid w:val="004E0F5D"/>
    <w:rsid w:val="004E2765"/>
    <w:rsid w:val="004E58A7"/>
    <w:rsid w:val="004E5904"/>
    <w:rsid w:val="004E71E2"/>
    <w:rsid w:val="004F02FF"/>
    <w:rsid w:val="004F0B2A"/>
    <w:rsid w:val="004F154A"/>
    <w:rsid w:val="004F17F0"/>
    <w:rsid w:val="004F1B1B"/>
    <w:rsid w:val="004F2825"/>
    <w:rsid w:val="004F4B99"/>
    <w:rsid w:val="004F4F7A"/>
    <w:rsid w:val="004F5206"/>
    <w:rsid w:val="0050283E"/>
    <w:rsid w:val="00502A32"/>
    <w:rsid w:val="00503EDD"/>
    <w:rsid w:val="00504FFA"/>
    <w:rsid w:val="005065FC"/>
    <w:rsid w:val="00506654"/>
    <w:rsid w:val="00506C9E"/>
    <w:rsid w:val="005070D2"/>
    <w:rsid w:val="00507C31"/>
    <w:rsid w:val="00511DEE"/>
    <w:rsid w:val="00513503"/>
    <w:rsid w:val="00515F56"/>
    <w:rsid w:val="0051680F"/>
    <w:rsid w:val="00516920"/>
    <w:rsid w:val="00516C21"/>
    <w:rsid w:val="00517445"/>
    <w:rsid w:val="00517D29"/>
    <w:rsid w:val="00521880"/>
    <w:rsid w:val="00521F90"/>
    <w:rsid w:val="005227C5"/>
    <w:rsid w:val="00523DD3"/>
    <w:rsid w:val="00524F79"/>
    <w:rsid w:val="005258B2"/>
    <w:rsid w:val="0053087D"/>
    <w:rsid w:val="00530AF6"/>
    <w:rsid w:val="00530F2E"/>
    <w:rsid w:val="00530F32"/>
    <w:rsid w:val="00533019"/>
    <w:rsid w:val="00534361"/>
    <w:rsid w:val="0053732C"/>
    <w:rsid w:val="00544BC5"/>
    <w:rsid w:val="00546738"/>
    <w:rsid w:val="00546D87"/>
    <w:rsid w:val="0055194C"/>
    <w:rsid w:val="00552005"/>
    <w:rsid w:val="005520DC"/>
    <w:rsid w:val="00554375"/>
    <w:rsid w:val="00554B3A"/>
    <w:rsid w:val="0055545E"/>
    <w:rsid w:val="005566D9"/>
    <w:rsid w:val="00556C1C"/>
    <w:rsid w:val="0055796F"/>
    <w:rsid w:val="00557BEA"/>
    <w:rsid w:val="00557E0C"/>
    <w:rsid w:val="00565F48"/>
    <w:rsid w:val="00566C67"/>
    <w:rsid w:val="00566E42"/>
    <w:rsid w:val="0056792F"/>
    <w:rsid w:val="00567B6F"/>
    <w:rsid w:val="00567E2E"/>
    <w:rsid w:val="00570724"/>
    <w:rsid w:val="005712E6"/>
    <w:rsid w:val="005730D8"/>
    <w:rsid w:val="00574D0B"/>
    <w:rsid w:val="00575558"/>
    <w:rsid w:val="00576404"/>
    <w:rsid w:val="00580805"/>
    <w:rsid w:val="005811D9"/>
    <w:rsid w:val="005827F3"/>
    <w:rsid w:val="0058293D"/>
    <w:rsid w:val="00584407"/>
    <w:rsid w:val="00586014"/>
    <w:rsid w:val="00586196"/>
    <w:rsid w:val="00587C60"/>
    <w:rsid w:val="00587FED"/>
    <w:rsid w:val="0059451E"/>
    <w:rsid w:val="0059483F"/>
    <w:rsid w:val="00597ECC"/>
    <w:rsid w:val="00597F84"/>
    <w:rsid w:val="005A397B"/>
    <w:rsid w:val="005A3F74"/>
    <w:rsid w:val="005A54F2"/>
    <w:rsid w:val="005B0BF8"/>
    <w:rsid w:val="005B3AD9"/>
    <w:rsid w:val="005B4314"/>
    <w:rsid w:val="005C05BF"/>
    <w:rsid w:val="005C141C"/>
    <w:rsid w:val="005C17F0"/>
    <w:rsid w:val="005C1ED8"/>
    <w:rsid w:val="005C3600"/>
    <w:rsid w:val="005C727D"/>
    <w:rsid w:val="005D1E9B"/>
    <w:rsid w:val="005D3FCA"/>
    <w:rsid w:val="005D5191"/>
    <w:rsid w:val="005E2AE6"/>
    <w:rsid w:val="005E3FA6"/>
    <w:rsid w:val="005E416D"/>
    <w:rsid w:val="005E5B62"/>
    <w:rsid w:val="005E6CE8"/>
    <w:rsid w:val="005E6FCF"/>
    <w:rsid w:val="005E74BF"/>
    <w:rsid w:val="005F0B6C"/>
    <w:rsid w:val="005F200B"/>
    <w:rsid w:val="005F237A"/>
    <w:rsid w:val="005F2FB4"/>
    <w:rsid w:val="005F38A1"/>
    <w:rsid w:val="005F3BEB"/>
    <w:rsid w:val="005F475C"/>
    <w:rsid w:val="00601137"/>
    <w:rsid w:val="00601937"/>
    <w:rsid w:val="00602589"/>
    <w:rsid w:val="0060512A"/>
    <w:rsid w:val="006058E2"/>
    <w:rsid w:val="00611976"/>
    <w:rsid w:val="00612325"/>
    <w:rsid w:val="0061256E"/>
    <w:rsid w:val="00613081"/>
    <w:rsid w:val="00615140"/>
    <w:rsid w:val="006160FD"/>
    <w:rsid w:val="006170D2"/>
    <w:rsid w:val="00617C0D"/>
    <w:rsid w:val="006211CC"/>
    <w:rsid w:val="00622CC2"/>
    <w:rsid w:val="00623F8D"/>
    <w:rsid w:val="006266BF"/>
    <w:rsid w:val="00630B78"/>
    <w:rsid w:val="00630DAA"/>
    <w:rsid w:val="0063115E"/>
    <w:rsid w:val="00632A12"/>
    <w:rsid w:val="006341C9"/>
    <w:rsid w:val="00635768"/>
    <w:rsid w:val="00636E45"/>
    <w:rsid w:val="00642A9C"/>
    <w:rsid w:val="0064388A"/>
    <w:rsid w:val="00643929"/>
    <w:rsid w:val="0064465B"/>
    <w:rsid w:val="0064634E"/>
    <w:rsid w:val="00651DD6"/>
    <w:rsid w:val="00652A2D"/>
    <w:rsid w:val="006539E1"/>
    <w:rsid w:val="0065711C"/>
    <w:rsid w:val="00666480"/>
    <w:rsid w:val="006670A3"/>
    <w:rsid w:val="00667BBB"/>
    <w:rsid w:val="006714BD"/>
    <w:rsid w:val="00673747"/>
    <w:rsid w:val="006757BA"/>
    <w:rsid w:val="006758FA"/>
    <w:rsid w:val="006770E6"/>
    <w:rsid w:val="00680B2F"/>
    <w:rsid w:val="00681E47"/>
    <w:rsid w:val="0068333D"/>
    <w:rsid w:val="006834B2"/>
    <w:rsid w:val="0068559A"/>
    <w:rsid w:val="00686D90"/>
    <w:rsid w:val="0069042C"/>
    <w:rsid w:val="00691314"/>
    <w:rsid w:val="0069200E"/>
    <w:rsid w:val="006923E3"/>
    <w:rsid w:val="006A0AC9"/>
    <w:rsid w:val="006A0CBD"/>
    <w:rsid w:val="006A0E00"/>
    <w:rsid w:val="006A6252"/>
    <w:rsid w:val="006A674D"/>
    <w:rsid w:val="006A7A45"/>
    <w:rsid w:val="006B21AF"/>
    <w:rsid w:val="006B2703"/>
    <w:rsid w:val="006B33E5"/>
    <w:rsid w:val="006B35E7"/>
    <w:rsid w:val="006B36F3"/>
    <w:rsid w:val="006B3FE5"/>
    <w:rsid w:val="006B459B"/>
    <w:rsid w:val="006C4B6F"/>
    <w:rsid w:val="006C6D31"/>
    <w:rsid w:val="006C7E4A"/>
    <w:rsid w:val="006D0A73"/>
    <w:rsid w:val="006D56B8"/>
    <w:rsid w:val="006D59F2"/>
    <w:rsid w:val="006E0030"/>
    <w:rsid w:val="006E0952"/>
    <w:rsid w:val="006E6322"/>
    <w:rsid w:val="006E6A1E"/>
    <w:rsid w:val="006E6D74"/>
    <w:rsid w:val="006F0840"/>
    <w:rsid w:val="006F08F2"/>
    <w:rsid w:val="006F0B77"/>
    <w:rsid w:val="006F1DD1"/>
    <w:rsid w:val="006F3F55"/>
    <w:rsid w:val="006F7337"/>
    <w:rsid w:val="006F7BBC"/>
    <w:rsid w:val="007004B2"/>
    <w:rsid w:val="0070248A"/>
    <w:rsid w:val="00702F9C"/>
    <w:rsid w:val="00706ED1"/>
    <w:rsid w:val="0070712F"/>
    <w:rsid w:val="0070735F"/>
    <w:rsid w:val="00707C2E"/>
    <w:rsid w:val="00710F91"/>
    <w:rsid w:val="007118F6"/>
    <w:rsid w:val="007134C7"/>
    <w:rsid w:val="00714775"/>
    <w:rsid w:val="00714EF9"/>
    <w:rsid w:val="00715E7A"/>
    <w:rsid w:val="00722FCD"/>
    <w:rsid w:val="007263D0"/>
    <w:rsid w:val="00730A90"/>
    <w:rsid w:val="00731059"/>
    <w:rsid w:val="00731FCF"/>
    <w:rsid w:val="00734D78"/>
    <w:rsid w:val="0073515F"/>
    <w:rsid w:val="00736EEF"/>
    <w:rsid w:val="007377F3"/>
    <w:rsid w:val="007403BF"/>
    <w:rsid w:val="00740933"/>
    <w:rsid w:val="007433EC"/>
    <w:rsid w:val="00743D93"/>
    <w:rsid w:val="00744246"/>
    <w:rsid w:val="007472F3"/>
    <w:rsid w:val="00750CCC"/>
    <w:rsid w:val="00752053"/>
    <w:rsid w:val="00753290"/>
    <w:rsid w:val="007579C2"/>
    <w:rsid w:val="00760F75"/>
    <w:rsid w:val="00760FDE"/>
    <w:rsid w:val="007617C5"/>
    <w:rsid w:val="00764699"/>
    <w:rsid w:val="00764911"/>
    <w:rsid w:val="00765EB7"/>
    <w:rsid w:val="00766546"/>
    <w:rsid w:val="00770B8C"/>
    <w:rsid w:val="00776110"/>
    <w:rsid w:val="00776CDE"/>
    <w:rsid w:val="0078362A"/>
    <w:rsid w:val="0079009D"/>
    <w:rsid w:val="00793A50"/>
    <w:rsid w:val="00793EAD"/>
    <w:rsid w:val="0079537A"/>
    <w:rsid w:val="007A0346"/>
    <w:rsid w:val="007A246B"/>
    <w:rsid w:val="007A3040"/>
    <w:rsid w:val="007A3107"/>
    <w:rsid w:val="007A5965"/>
    <w:rsid w:val="007B1AF9"/>
    <w:rsid w:val="007B43DA"/>
    <w:rsid w:val="007B60E9"/>
    <w:rsid w:val="007C50FC"/>
    <w:rsid w:val="007C661D"/>
    <w:rsid w:val="007C6986"/>
    <w:rsid w:val="007C757C"/>
    <w:rsid w:val="007C7B6B"/>
    <w:rsid w:val="007C7EAF"/>
    <w:rsid w:val="007D0325"/>
    <w:rsid w:val="007D098B"/>
    <w:rsid w:val="007D250F"/>
    <w:rsid w:val="007D6FFC"/>
    <w:rsid w:val="007D7DFF"/>
    <w:rsid w:val="007E0EAB"/>
    <w:rsid w:val="007E4435"/>
    <w:rsid w:val="007E4492"/>
    <w:rsid w:val="007E4778"/>
    <w:rsid w:val="007E6073"/>
    <w:rsid w:val="007E659A"/>
    <w:rsid w:val="007E7D98"/>
    <w:rsid w:val="007F297E"/>
    <w:rsid w:val="007F2B6C"/>
    <w:rsid w:val="007F331C"/>
    <w:rsid w:val="00800451"/>
    <w:rsid w:val="008064B6"/>
    <w:rsid w:val="008107F5"/>
    <w:rsid w:val="00810C1E"/>
    <w:rsid w:val="00810D8E"/>
    <w:rsid w:val="00813BF9"/>
    <w:rsid w:val="008156E0"/>
    <w:rsid w:val="008159CE"/>
    <w:rsid w:val="00816C8A"/>
    <w:rsid w:val="0081768D"/>
    <w:rsid w:val="008177FC"/>
    <w:rsid w:val="00817DE4"/>
    <w:rsid w:val="00820379"/>
    <w:rsid w:val="008221A8"/>
    <w:rsid w:val="00822C82"/>
    <w:rsid w:val="008230F5"/>
    <w:rsid w:val="00825101"/>
    <w:rsid w:val="00825A52"/>
    <w:rsid w:val="00825B3B"/>
    <w:rsid w:val="00830336"/>
    <w:rsid w:val="00841229"/>
    <w:rsid w:val="00845778"/>
    <w:rsid w:val="00845F49"/>
    <w:rsid w:val="00845F55"/>
    <w:rsid w:val="00850038"/>
    <w:rsid w:val="008516D5"/>
    <w:rsid w:val="008569EA"/>
    <w:rsid w:val="00856D38"/>
    <w:rsid w:val="00856FFF"/>
    <w:rsid w:val="0086038A"/>
    <w:rsid w:val="0086050B"/>
    <w:rsid w:val="00862022"/>
    <w:rsid w:val="00862D0E"/>
    <w:rsid w:val="00865C3B"/>
    <w:rsid w:val="00871FD1"/>
    <w:rsid w:val="008726B2"/>
    <w:rsid w:val="00874052"/>
    <w:rsid w:val="00874557"/>
    <w:rsid w:val="00875290"/>
    <w:rsid w:val="008813D5"/>
    <w:rsid w:val="008838B7"/>
    <w:rsid w:val="00884317"/>
    <w:rsid w:val="008856A5"/>
    <w:rsid w:val="00885D33"/>
    <w:rsid w:val="0089063D"/>
    <w:rsid w:val="00893690"/>
    <w:rsid w:val="0089458B"/>
    <w:rsid w:val="00896278"/>
    <w:rsid w:val="008A15A9"/>
    <w:rsid w:val="008A1B88"/>
    <w:rsid w:val="008A1C0F"/>
    <w:rsid w:val="008A4429"/>
    <w:rsid w:val="008A63BD"/>
    <w:rsid w:val="008A6ADD"/>
    <w:rsid w:val="008A6EAD"/>
    <w:rsid w:val="008A7713"/>
    <w:rsid w:val="008B28D3"/>
    <w:rsid w:val="008B2E40"/>
    <w:rsid w:val="008B5094"/>
    <w:rsid w:val="008B521D"/>
    <w:rsid w:val="008C1A2E"/>
    <w:rsid w:val="008C4638"/>
    <w:rsid w:val="008C5DBF"/>
    <w:rsid w:val="008C7D0C"/>
    <w:rsid w:val="008D2E64"/>
    <w:rsid w:val="008D46F2"/>
    <w:rsid w:val="008D486D"/>
    <w:rsid w:val="008D4FDD"/>
    <w:rsid w:val="008D70FD"/>
    <w:rsid w:val="008E08EC"/>
    <w:rsid w:val="008E1A3B"/>
    <w:rsid w:val="008E1A79"/>
    <w:rsid w:val="008E20C5"/>
    <w:rsid w:val="008E2CFB"/>
    <w:rsid w:val="008E3C3F"/>
    <w:rsid w:val="008F07B1"/>
    <w:rsid w:val="008F28F3"/>
    <w:rsid w:val="008F2F45"/>
    <w:rsid w:val="008F411E"/>
    <w:rsid w:val="008F4159"/>
    <w:rsid w:val="008F63B9"/>
    <w:rsid w:val="008F6CCA"/>
    <w:rsid w:val="008F6F66"/>
    <w:rsid w:val="009027AE"/>
    <w:rsid w:val="00903F24"/>
    <w:rsid w:val="00904A86"/>
    <w:rsid w:val="00911AEF"/>
    <w:rsid w:val="00915AAC"/>
    <w:rsid w:val="00915C03"/>
    <w:rsid w:val="00916289"/>
    <w:rsid w:val="009165C1"/>
    <w:rsid w:val="0091666B"/>
    <w:rsid w:val="00921577"/>
    <w:rsid w:val="00922659"/>
    <w:rsid w:val="009231FE"/>
    <w:rsid w:val="00925446"/>
    <w:rsid w:val="0093031E"/>
    <w:rsid w:val="009314BA"/>
    <w:rsid w:val="00931AB7"/>
    <w:rsid w:val="00932236"/>
    <w:rsid w:val="0093229C"/>
    <w:rsid w:val="009338A9"/>
    <w:rsid w:val="00933F74"/>
    <w:rsid w:val="0093401A"/>
    <w:rsid w:val="009345D5"/>
    <w:rsid w:val="00937574"/>
    <w:rsid w:val="00941FB9"/>
    <w:rsid w:val="009429B8"/>
    <w:rsid w:val="00942D65"/>
    <w:rsid w:val="00942E19"/>
    <w:rsid w:val="00944188"/>
    <w:rsid w:val="009444D5"/>
    <w:rsid w:val="0094709B"/>
    <w:rsid w:val="00950C02"/>
    <w:rsid w:val="00951F92"/>
    <w:rsid w:val="00953D13"/>
    <w:rsid w:val="00953D21"/>
    <w:rsid w:val="00954C52"/>
    <w:rsid w:val="009608B2"/>
    <w:rsid w:val="00963E26"/>
    <w:rsid w:val="00967F5D"/>
    <w:rsid w:val="00971381"/>
    <w:rsid w:val="00972FCA"/>
    <w:rsid w:val="0097520C"/>
    <w:rsid w:val="009757C4"/>
    <w:rsid w:val="00975BF7"/>
    <w:rsid w:val="00975EE8"/>
    <w:rsid w:val="009761AC"/>
    <w:rsid w:val="00981974"/>
    <w:rsid w:val="00982434"/>
    <w:rsid w:val="00982442"/>
    <w:rsid w:val="00982D51"/>
    <w:rsid w:val="0098306A"/>
    <w:rsid w:val="00983275"/>
    <w:rsid w:val="009840B0"/>
    <w:rsid w:val="00985760"/>
    <w:rsid w:val="0098656B"/>
    <w:rsid w:val="0098696A"/>
    <w:rsid w:val="00987476"/>
    <w:rsid w:val="0098790E"/>
    <w:rsid w:val="00991BC8"/>
    <w:rsid w:val="009928CF"/>
    <w:rsid w:val="00992CDE"/>
    <w:rsid w:val="00994019"/>
    <w:rsid w:val="009945B6"/>
    <w:rsid w:val="0099490E"/>
    <w:rsid w:val="009977ED"/>
    <w:rsid w:val="009A0435"/>
    <w:rsid w:val="009A2426"/>
    <w:rsid w:val="009A38A9"/>
    <w:rsid w:val="009A577E"/>
    <w:rsid w:val="009A6107"/>
    <w:rsid w:val="009B01C8"/>
    <w:rsid w:val="009B153D"/>
    <w:rsid w:val="009B27F7"/>
    <w:rsid w:val="009B47F9"/>
    <w:rsid w:val="009B50EE"/>
    <w:rsid w:val="009B63F7"/>
    <w:rsid w:val="009C1367"/>
    <w:rsid w:val="009C280D"/>
    <w:rsid w:val="009C2DE2"/>
    <w:rsid w:val="009D30D6"/>
    <w:rsid w:val="009D4710"/>
    <w:rsid w:val="009D5BB1"/>
    <w:rsid w:val="009D6661"/>
    <w:rsid w:val="009D71CA"/>
    <w:rsid w:val="009E0EED"/>
    <w:rsid w:val="009E17CE"/>
    <w:rsid w:val="009E1FA0"/>
    <w:rsid w:val="009E238B"/>
    <w:rsid w:val="009E3E99"/>
    <w:rsid w:val="009E47AA"/>
    <w:rsid w:val="009E4C61"/>
    <w:rsid w:val="009E4FF4"/>
    <w:rsid w:val="009E639B"/>
    <w:rsid w:val="009E6704"/>
    <w:rsid w:val="009E7C46"/>
    <w:rsid w:val="009F01EC"/>
    <w:rsid w:val="009F0297"/>
    <w:rsid w:val="009F03CD"/>
    <w:rsid w:val="009F21D7"/>
    <w:rsid w:val="009F474D"/>
    <w:rsid w:val="00A01432"/>
    <w:rsid w:val="00A01AD4"/>
    <w:rsid w:val="00A01F78"/>
    <w:rsid w:val="00A026AB"/>
    <w:rsid w:val="00A02735"/>
    <w:rsid w:val="00A02D85"/>
    <w:rsid w:val="00A04484"/>
    <w:rsid w:val="00A1030D"/>
    <w:rsid w:val="00A1045D"/>
    <w:rsid w:val="00A1426A"/>
    <w:rsid w:val="00A1592A"/>
    <w:rsid w:val="00A16A42"/>
    <w:rsid w:val="00A20BD7"/>
    <w:rsid w:val="00A22685"/>
    <w:rsid w:val="00A22DB0"/>
    <w:rsid w:val="00A23939"/>
    <w:rsid w:val="00A24054"/>
    <w:rsid w:val="00A26B2D"/>
    <w:rsid w:val="00A33D93"/>
    <w:rsid w:val="00A348BF"/>
    <w:rsid w:val="00A34D2F"/>
    <w:rsid w:val="00A37DA9"/>
    <w:rsid w:val="00A40382"/>
    <w:rsid w:val="00A421E7"/>
    <w:rsid w:val="00A42658"/>
    <w:rsid w:val="00A434B5"/>
    <w:rsid w:val="00A43EBB"/>
    <w:rsid w:val="00A46726"/>
    <w:rsid w:val="00A4675D"/>
    <w:rsid w:val="00A470B8"/>
    <w:rsid w:val="00A51A91"/>
    <w:rsid w:val="00A5209A"/>
    <w:rsid w:val="00A5233E"/>
    <w:rsid w:val="00A54046"/>
    <w:rsid w:val="00A54BA9"/>
    <w:rsid w:val="00A54E22"/>
    <w:rsid w:val="00A56EE3"/>
    <w:rsid w:val="00A60529"/>
    <w:rsid w:val="00A60916"/>
    <w:rsid w:val="00A630A5"/>
    <w:rsid w:val="00A655F9"/>
    <w:rsid w:val="00A663E3"/>
    <w:rsid w:val="00A67C03"/>
    <w:rsid w:val="00A71AF5"/>
    <w:rsid w:val="00A732D4"/>
    <w:rsid w:val="00A736AC"/>
    <w:rsid w:val="00A7511B"/>
    <w:rsid w:val="00A75B01"/>
    <w:rsid w:val="00A8167D"/>
    <w:rsid w:val="00A82547"/>
    <w:rsid w:val="00A8407A"/>
    <w:rsid w:val="00A85B00"/>
    <w:rsid w:val="00A860A1"/>
    <w:rsid w:val="00A90AC6"/>
    <w:rsid w:val="00A927A9"/>
    <w:rsid w:val="00A92B22"/>
    <w:rsid w:val="00A945DC"/>
    <w:rsid w:val="00A9461D"/>
    <w:rsid w:val="00AA0B1E"/>
    <w:rsid w:val="00AA1782"/>
    <w:rsid w:val="00AA37EE"/>
    <w:rsid w:val="00AA48C0"/>
    <w:rsid w:val="00AA50FD"/>
    <w:rsid w:val="00AB02E2"/>
    <w:rsid w:val="00AB0D50"/>
    <w:rsid w:val="00AB1E21"/>
    <w:rsid w:val="00AB3FE1"/>
    <w:rsid w:val="00AC0514"/>
    <w:rsid w:val="00AC0740"/>
    <w:rsid w:val="00AC0AA6"/>
    <w:rsid w:val="00AC247D"/>
    <w:rsid w:val="00AC4368"/>
    <w:rsid w:val="00AC5BBE"/>
    <w:rsid w:val="00AC62D2"/>
    <w:rsid w:val="00AC76E6"/>
    <w:rsid w:val="00AD01A2"/>
    <w:rsid w:val="00AD18F0"/>
    <w:rsid w:val="00AD2912"/>
    <w:rsid w:val="00AD3708"/>
    <w:rsid w:val="00AD3A12"/>
    <w:rsid w:val="00AD5D03"/>
    <w:rsid w:val="00AD65DA"/>
    <w:rsid w:val="00AD6F77"/>
    <w:rsid w:val="00AE149E"/>
    <w:rsid w:val="00AE3B9F"/>
    <w:rsid w:val="00AE43F0"/>
    <w:rsid w:val="00AF1D5B"/>
    <w:rsid w:val="00AF3D14"/>
    <w:rsid w:val="00AF4169"/>
    <w:rsid w:val="00AF4A13"/>
    <w:rsid w:val="00AF576A"/>
    <w:rsid w:val="00B00DCD"/>
    <w:rsid w:val="00B0476F"/>
    <w:rsid w:val="00B061DE"/>
    <w:rsid w:val="00B06E4B"/>
    <w:rsid w:val="00B10DC0"/>
    <w:rsid w:val="00B208F2"/>
    <w:rsid w:val="00B22C7A"/>
    <w:rsid w:val="00B2351D"/>
    <w:rsid w:val="00B23E40"/>
    <w:rsid w:val="00B250A3"/>
    <w:rsid w:val="00B2516D"/>
    <w:rsid w:val="00B25644"/>
    <w:rsid w:val="00B25C5C"/>
    <w:rsid w:val="00B27534"/>
    <w:rsid w:val="00B27E32"/>
    <w:rsid w:val="00B309A7"/>
    <w:rsid w:val="00B30FDD"/>
    <w:rsid w:val="00B3394C"/>
    <w:rsid w:val="00B34972"/>
    <w:rsid w:val="00B3624D"/>
    <w:rsid w:val="00B40803"/>
    <w:rsid w:val="00B4109E"/>
    <w:rsid w:val="00B41733"/>
    <w:rsid w:val="00B429EB"/>
    <w:rsid w:val="00B42D1E"/>
    <w:rsid w:val="00B4392F"/>
    <w:rsid w:val="00B43C72"/>
    <w:rsid w:val="00B45A83"/>
    <w:rsid w:val="00B4635F"/>
    <w:rsid w:val="00B5015F"/>
    <w:rsid w:val="00B5041F"/>
    <w:rsid w:val="00B506E8"/>
    <w:rsid w:val="00B55904"/>
    <w:rsid w:val="00B60CC4"/>
    <w:rsid w:val="00B60E4D"/>
    <w:rsid w:val="00B61C61"/>
    <w:rsid w:val="00B61F3F"/>
    <w:rsid w:val="00B62091"/>
    <w:rsid w:val="00B627FD"/>
    <w:rsid w:val="00B6469A"/>
    <w:rsid w:val="00B65127"/>
    <w:rsid w:val="00B6567A"/>
    <w:rsid w:val="00B66392"/>
    <w:rsid w:val="00B666E8"/>
    <w:rsid w:val="00B67598"/>
    <w:rsid w:val="00B67F1C"/>
    <w:rsid w:val="00B714B5"/>
    <w:rsid w:val="00B71912"/>
    <w:rsid w:val="00B777E2"/>
    <w:rsid w:val="00B77CDF"/>
    <w:rsid w:val="00B80079"/>
    <w:rsid w:val="00B814D8"/>
    <w:rsid w:val="00B8263C"/>
    <w:rsid w:val="00B828B6"/>
    <w:rsid w:val="00B83D61"/>
    <w:rsid w:val="00B858CF"/>
    <w:rsid w:val="00B90889"/>
    <w:rsid w:val="00B91538"/>
    <w:rsid w:val="00B9334E"/>
    <w:rsid w:val="00B93494"/>
    <w:rsid w:val="00B93676"/>
    <w:rsid w:val="00B949AD"/>
    <w:rsid w:val="00B959E6"/>
    <w:rsid w:val="00B95AD7"/>
    <w:rsid w:val="00BA0DA2"/>
    <w:rsid w:val="00BA3A24"/>
    <w:rsid w:val="00BA4FB5"/>
    <w:rsid w:val="00BA61A1"/>
    <w:rsid w:val="00BA704E"/>
    <w:rsid w:val="00BA7071"/>
    <w:rsid w:val="00BB19FC"/>
    <w:rsid w:val="00BB6302"/>
    <w:rsid w:val="00BC28B0"/>
    <w:rsid w:val="00BC47B0"/>
    <w:rsid w:val="00BD03A0"/>
    <w:rsid w:val="00BD0575"/>
    <w:rsid w:val="00BD38B1"/>
    <w:rsid w:val="00BD6B3A"/>
    <w:rsid w:val="00BE5717"/>
    <w:rsid w:val="00BE5CDA"/>
    <w:rsid w:val="00BE6598"/>
    <w:rsid w:val="00BE73ED"/>
    <w:rsid w:val="00BF00B0"/>
    <w:rsid w:val="00BF05D7"/>
    <w:rsid w:val="00BF293A"/>
    <w:rsid w:val="00BF3FF0"/>
    <w:rsid w:val="00BF44C7"/>
    <w:rsid w:val="00BF5AD8"/>
    <w:rsid w:val="00C00C38"/>
    <w:rsid w:val="00C018E4"/>
    <w:rsid w:val="00C02F49"/>
    <w:rsid w:val="00C03148"/>
    <w:rsid w:val="00C06E41"/>
    <w:rsid w:val="00C072DB"/>
    <w:rsid w:val="00C124DC"/>
    <w:rsid w:val="00C13B59"/>
    <w:rsid w:val="00C176B5"/>
    <w:rsid w:val="00C17DB9"/>
    <w:rsid w:val="00C21554"/>
    <w:rsid w:val="00C22912"/>
    <w:rsid w:val="00C24AA5"/>
    <w:rsid w:val="00C24EA4"/>
    <w:rsid w:val="00C27561"/>
    <w:rsid w:val="00C27BC2"/>
    <w:rsid w:val="00C3076F"/>
    <w:rsid w:val="00C32253"/>
    <w:rsid w:val="00C32D8B"/>
    <w:rsid w:val="00C344DD"/>
    <w:rsid w:val="00C40AB9"/>
    <w:rsid w:val="00C42ED1"/>
    <w:rsid w:val="00C435EE"/>
    <w:rsid w:val="00C43732"/>
    <w:rsid w:val="00C44F52"/>
    <w:rsid w:val="00C47113"/>
    <w:rsid w:val="00C51FBC"/>
    <w:rsid w:val="00C53B4B"/>
    <w:rsid w:val="00C54683"/>
    <w:rsid w:val="00C56107"/>
    <w:rsid w:val="00C620AB"/>
    <w:rsid w:val="00C628BA"/>
    <w:rsid w:val="00C648A1"/>
    <w:rsid w:val="00C651A9"/>
    <w:rsid w:val="00C652F0"/>
    <w:rsid w:val="00C66C9B"/>
    <w:rsid w:val="00C674C1"/>
    <w:rsid w:val="00C7005E"/>
    <w:rsid w:val="00C704C2"/>
    <w:rsid w:val="00C72D26"/>
    <w:rsid w:val="00C733A1"/>
    <w:rsid w:val="00C7395D"/>
    <w:rsid w:val="00C73BD8"/>
    <w:rsid w:val="00C740CA"/>
    <w:rsid w:val="00C74548"/>
    <w:rsid w:val="00C82D67"/>
    <w:rsid w:val="00C82F52"/>
    <w:rsid w:val="00C841B7"/>
    <w:rsid w:val="00C84E40"/>
    <w:rsid w:val="00C87458"/>
    <w:rsid w:val="00C877CA"/>
    <w:rsid w:val="00C92685"/>
    <w:rsid w:val="00C9346E"/>
    <w:rsid w:val="00C96509"/>
    <w:rsid w:val="00C975F9"/>
    <w:rsid w:val="00CA113A"/>
    <w:rsid w:val="00CA1C99"/>
    <w:rsid w:val="00CA4779"/>
    <w:rsid w:val="00CA5719"/>
    <w:rsid w:val="00CA7C91"/>
    <w:rsid w:val="00CB04FE"/>
    <w:rsid w:val="00CB09A1"/>
    <w:rsid w:val="00CB0FFD"/>
    <w:rsid w:val="00CB1847"/>
    <w:rsid w:val="00CB52B6"/>
    <w:rsid w:val="00CB7918"/>
    <w:rsid w:val="00CC0BCE"/>
    <w:rsid w:val="00CC1A59"/>
    <w:rsid w:val="00CC2D30"/>
    <w:rsid w:val="00CC2F5C"/>
    <w:rsid w:val="00CC4FAA"/>
    <w:rsid w:val="00CC5B24"/>
    <w:rsid w:val="00CC5C41"/>
    <w:rsid w:val="00CC61A4"/>
    <w:rsid w:val="00CC643B"/>
    <w:rsid w:val="00CD6CFB"/>
    <w:rsid w:val="00CD6EE2"/>
    <w:rsid w:val="00CE09F9"/>
    <w:rsid w:val="00CE0CD4"/>
    <w:rsid w:val="00CE1050"/>
    <w:rsid w:val="00CE3E6A"/>
    <w:rsid w:val="00CE4284"/>
    <w:rsid w:val="00CE6016"/>
    <w:rsid w:val="00CF529B"/>
    <w:rsid w:val="00CF58B7"/>
    <w:rsid w:val="00D03974"/>
    <w:rsid w:val="00D05370"/>
    <w:rsid w:val="00D056DA"/>
    <w:rsid w:val="00D05779"/>
    <w:rsid w:val="00D0691F"/>
    <w:rsid w:val="00D102FE"/>
    <w:rsid w:val="00D10329"/>
    <w:rsid w:val="00D10411"/>
    <w:rsid w:val="00D11EB9"/>
    <w:rsid w:val="00D12701"/>
    <w:rsid w:val="00D13333"/>
    <w:rsid w:val="00D17CA1"/>
    <w:rsid w:val="00D22565"/>
    <w:rsid w:val="00D277CF"/>
    <w:rsid w:val="00D31A50"/>
    <w:rsid w:val="00D331F6"/>
    <w:rsid w:val="00D33C16"/>
    <w:rsid w:val="00D35C53"/>
    <w:rsid w:val="00D37554"/>
    <w:rsid w:val="00D418C9"/>
    <w:rsid w:val="00D42F2C"/>
    <w:rsid w:val="00D53E01"/>
    <w:rsid w:val="00D57812"/>
    <w:rsid w:val="00D607E6"/>
    <w:rsid w:val="00D61ED0"/>
    <w:rsid w:val="00D637AC"/>
    <w:rsid w:val="00D63F31"/>
    <w:rsid w:val="00D6544E"/>
    <w:rsid w:val="00D66FFD"/>
    <w:rsid w:val="00D718A3"/>
    <w:rsid w:val="00D72834"/>
    <w:rsid w:val="00D73530"/>
    <w:rsid w:val="00D7373C"/>
    <w:rsid w:val="00D7523F"/>
    <w:rsid w:val="00D77482"/>
    <w:rsid w:val="00D801B8"/>
    <w:rsid w:val="00D80453"/>
    <w:rsid w:val="00D86EED"/>
    <w:rsid w:val="00D8732E"/>
    <w:rsid w:val="00D90EBE"/>
    <w:rsid w:val="00D923A7"/>
    <w:rsid w:val="00D92597"/>
    <w:rsid w:val="00D94D5D"/>
    <w:rsid w:val="00D97A4D"/>
    <w:rsid w:val="00DA0B71"/>
    <w:rsid w:val="00DA11B9"/>
    <w:rsid w:val="00DA1C71"/>
    <w:rsid w:val="00DA25F9"/>
    <w:rsid w:val="00DA64FA"/>
    <w:rsid w:val="00DA655E"/>
    <w:rsid w:val="00DA675F"/>
    <w:rsid w:val="00DB0E87"/>
    <w:rsid w:val="00DB101B"/>
    <w:rsid w:val="00DB2061"/>
    <w:rsid w:val="00DB3E1E"/>
    <w:rsid w:val="00DB6025"/>
    <w:rsid w:val="00DB7089"/>
    <w:rsid w:val="00DC14C5"/>
    <w:rsid w:val="00DC34CF"/>
    <w:rsid w:val="00DC3597"/>
    <w:rsid w:val="00DC6B45"/>
    <w:rsid w:val="00DC763B"/>
    <w:rsid w:val="00DD0AC9"/>
    <w:rsid w:val="00DD764D"/>
    <w:rsid w:val="00DD7AD4"/>
    <w:rsid w:val="00DE0A56"/>
    <w:rsid w:val="00DE0F6F"/>
    <w:rsid w:val="00DE336F"/>
    <w:rsid w:val="00DE389C"/>
    <w:rsid w:val="00DE6285"/>
    <w:rsid w:val="00DE7561"/>
    <w:rsid w:val="00DE7C0B"/>
    <w:rsid w:val="00DF21B5"/>
    <w:rsid w:val="00DF4440"/>
    <w:rsid w:val="00DF4E96"/>
    <w:rsid w:val="00DF632C"/>
    <w:rsid w:val="00DF6579"/>
    <w:rsid w:val="00DF6735"/>
    <w:rsid w:val="00DF67E0"/>
    <w:rsid w:val="00E001DB"/>
    <w:rsid w:val="00E00ED8"/>
    <w:rsid w:val="00E05C07"/>
    <w:rsid w:val="00E06758"/>
    <w:rsid w:val="00E104B4"/>
    <w:rsid w:val="00E11D56"/>
    <w:rsid w:val="00E120ED"/>
    <w:rsid w:val="00E128D4"/>
    <w:rsid w:val="00E132C6"/>
    <w:rsid w:val="00E155A5"/>
    <w:rsid w:val="00E173A8"/>
    <w:rsid w:val="00E20F35"/>
    <w:rsid w:val="00E22962"/>
    <w:rsid w:val="00E22C24"/>
    <w:rsid w:val="00E237BC"/>
    <w:rsid w:val="00E27431"/>
    <w:rsid w:val="00E3179B"/>
    <w:rsid w:val="00E332C7"/>
    <w:rsid w:val="00E335E1"/>
    <w:rsid w:val="00E337ED"/>
    <w:rsid w:val="00E34588"/>
    <w:rsid w:val="00E348EB"/>
    <w:rsid w:val="00E3594F"/>
    <w:rsid w:val="00E36C8E"/>
    <w:rsid w:val="00E377BB"/>
    <w:rsid w:val="00E45227"/>
    <w:rsid w:val="00E4764F"/>
    <w:rsid w:val="00E47A24"/>
    <w:rsid w:val="00E50B9C"/>
    <w:rsid w:val="00E569D4"/>
    <w:rsid w:val="00E57562"/>
    <w:rsid w:val="00E60C60"/>
    <w:rsid w:val="00E62951"/>
    <w:rsid w:val="00E6543E"/>
    <w:rsid w:val="00E669AE"/>
    <w:rsid w:val="00E67590"/>
    <w:rsid w:val="00E67993"/>
    <w:rsid w:val="00E7052B"/>
    <w:rsid w:val="00E71786"/>
    <w:rsid w:val="00E73909"/>
    <w:rsid w:val="00E75352"/>
    <w:rsid w:val="00E75ED3"/>
    <w:rsid w:val="00E80E39"/>
    <w:rsid w:val="00E84189"/>
    <w:rsid w:val="00E848BE"/>
    <w:rsid w:val="00E85B59"/>
    <w:rsid w:val="00E86B05"/>
    <w:rsid w:val="00E9205E"/>
    <w:rsid w:val="00E93731"/>
    <w:rsid w:val="00E9421B"/>
    <w:rsid w:val="00E94E0A"/>
    <w:rsid w:val="00E96E73"/>
    <w:rsid w:val="00EA0AB7"/>
    <w:rsid w:val="00EA1C70"/>
    <w:rsid w:val="00EA4A02"/>
    <w:rsid w:val="00EA4D45"/>
    <w:rsid w:val="00EA6793"/>
    <w:rsid w:val="00EA7C1A"/>
    <w:rsid w:val="00EA7DAF"/>
    <w:rsid w:val="00EB05A6"/>
    <w:rsid w:val="00EB0E0C"/>
    <w:rsid w:val="00EB1F4E"/>
    <w:rsid w:val="00EB3C17"/>
    <w:rsid w:val="00EB4A7E"/>
    <w:rsid w:val="00EB4D7E"/>
    <w:rsid w:val="00EB4E1D"/>
    <w:rsid w:val="00EC08C6"/>
    <w:rsid w:val="00EC65AC"/>
    <w:rsid w:val="00EC6897"/>
    <w:rsid w:val="00EC7CCF"/>
    <w:rsid w:val="00ED08E8"/>
    <w:rsid w:val="00ED1D92"/>
    <w:rsid w:val="00ED2316"/>
    <w:rsid w:val="00ED2CCD"/>
    <w:rsid w:val="00ED2DE1"/>
    <w:rsid w:val="00ED71C7"/>
    <w:rsid w:val="00EE0B1B"/>
    <w:rsid w:val="00EE10DA"/>
    <w:rsid w:val="00EE12FB"/>
    <w:rsid w:val="00EE2703"/>
    <w:rsid w:val="00EE2723"/>
    <w:rsid w:val="00EE61D9"/>
    <w:rsid w:val="00EF0399"/>
    <w:rsid w:val="00EF0EF1"/>
    <w:rsid w:val="00EF2A25"/>
    <w:rsid w:val="00EF616B"/>
    <w:rsid w:val="00EF672C"/>
    <w:rsid w:val="00EF7BA4"/>
    <w:rsid w:val="00F00C38"/>
    <w:rsid w:val="00F00F1F"/>
    <w:rsid w:val="00F029B5"/>
    <w:rsid w:val="00F03FDF"/>
    <w:rsid w:val="00F04C93"/>
    <w:rsid w:val="00F05169"/>
    <w:rsid w:val="00F065AF"/>
    <w:rsid w:val="00F0778F"/>
    <w:rsid w:val="00F10376"/>
    <w:rsid w:val="00F10D34"/>
    <w:rsid w:val="00F11406"/>
    <w:rsid w:val="00F123C1"/>
    <w:rsid w:val="00F1323D"/>
    <w:rsid w:val="00F1462B"/>
    <w:rsid w:val="00F14B82"/>
    <w:rsid w:val="00F169B1"/>
    <w:rsid w:val="00F16F06"/>
    <w:rsid w:val="00F1739E"/>
    <w:rsid w:val="00F17BA0"/>
    <w:rsid w:val="00F17F23"/>
    <w:rsid w:val="00F205C2"/>
    <w:rsid w:val="00F2141F"/>
    <w:rsid w:val="00F21516"/>
    <w:rsid w:val="00F21633"/>
    <w:rsid w:val="00F24C13"/>
    <w:rsid w:val="00F260DF"/>
    <w:rsid w:val="00F26A50"/>
    <w:rsid w:val="00F315FA"/>
    <w:rsid w:val="00F36953"/>
    <w:rsid w:val="00F44968"/>
    <w:rsid w:val="00F5107F"/>
    <w:rsid w:val="00F5286E"/>
    <w:rsid w:val="00F52B30"/>
    <w:rsid w:val="00F552DD"/>
    <w:rsid w:val="00F55B86"/>
    <w:rsid w:val="00F55E5F"/>
    <w:rsid w:val="00F56880"/>
    <w:rsid w:val="00F56F79"/>
    <w:rsid w:val="00F62982"/>
    <w:rsid w:val="00F62DD2"/>
    <w:rsid w:val="00F678FC"/>
    <w:rsid w:val="00F71F7A"/>
    <w:rsid w:val="00F72BA6"/>
    <w:rsid w:val="00F75A72"/>
    <w:rsid w:val="00F75D02"/>
    <w:rsid w:val="00F77907"/>
    <w:rsid w:val="00F77BA6"/>
    <w:rsid w:val="00F810B0"/>
    <w:rsid w:val="00F81569"/>
    <w:rsid w:val="00F81A9A"/>
    <w:rsid w:val="00F825A5"/>
    <w:rsid w:val="00F852D3"/>
    <w:rsid w:val="00F85BE9"/>
    <w:rsid w:val="00F85CE7"/>
    <w:rsid w:val="00F866B1"/>
    <w:rsid w:val="00F86A7A"/>
    <w:rsid w:val="00F87C51"/>
    <w:rsid w:val="00F94944"/>
    <w:rsid w:val="00F95D60"/>
    <w:rsid w:val="00F96D1B"/>
    <w:rsid w:val="00FA0280"/>
    <w:rsid w:val="00FA0C26"/>
    <w:rsid w:val="00FA2A3A"/>
    <w:rsid w:val="00FA3884"/>
    <w:rsid w:val="00FA3D5F"/>
    <w:rsid w:val="00FA3E6A"/>
    <w:rsid w:val="00FA624F"/>
    <w:rsid w:val="00FA73D4"/>
    <w:rsid w:val="00FB36C0"/>
    <w:rsid w:val="00FB458C"/>
    <w:rsid w:val="00FB4D26"/>
    <w:rsid w:val="00FB5A04"/>
    <w:rsid w:val="00FB7CEB"/>
    <w:rsid w:val="00FC2ACE"/>
    <w:rsid w:val="00FC2C73"/>
    <w:rsid w:val="00FC6FD9"/>
    <w:rsid w:val="00FD0A7B"/>
    <w:rsid w:val="00FD2C7E"/>
    <w:rsid w:val="00FD464E"/>
    <w:rsid w:val="00FD63B5"/>
    <w:rsid w:val="00FE148E"/>
    <w:rsid w:val="00FE2C49"/>
    <w:rsid w:val="00FE320A"/>
    <w:rsid w:val="00FE34AC"/>
    <w:rsid w:val="00FE438B"/>
    <w:rsid w:val="00FE5582"/>
    <w:rsid w:val="00FE58A4"/>
    <w:rsid w:val="00FF24E3"/>
    <w:rsid w:val="00FF2731"/>
    <w:rsid w:val="00FF50C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B56FEB"/>
  <w15:docId w15:val="{0B3A7440-7623-47AE-A923-D1EDCC451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sz w:val="22"/>
    </w:rPr>
  </w:style>
  <w:style w:type="paragraph" w:styleId="Heading1">
    <w:name w:val="heading 1"/>
    <w:basedOn w:val="Normal"/>
    <w:next w:val="Normal"/>
    <w:qFormat/>
    <w:pPr>
      <w:keepNext/>
      <w:jc w:val="center"/>
      <w:outlineLvl w:val="0"/>
    </w:pPr>
    <w:rPr>
      <w:b/>
      <w:sz w:val="32"/>
    </w:rPr>
  </w:style>
  <w:style w:type="paragraph" w:styleId="Heading2">
    <w:name w:val="heading 2"/>
    <w:basedOn w:val="Normal"/>
    <w:next w:val="Normal"/>
    <w:qFormat/>
    <w:pPr>
      <w:keepNext/>
      <w:jc w:val="center"/>
      <w:outlineLvl w:val="1"/>
    </w:pPr>
    <w:rPr>
      <w:b/>
      <w:sz w:val="36"/>
    </w:rPr>
  </w:style>
  <w:style w:type="paragraph" w:styleId="Heading3">
    <w:name w:val="heading 3"/>
    <w:basedOn w:val="Normal"/>
    <w:next w:val="Normal"/>
    <w:qFormat/>
    <w:pPr>
      <w:keepNext/>
      <w:outlineLvl w:val="2"/>
    </w:pPr>
    <w:rPr>
      <w:b/>
      <w:sz w:val="28"/>
    </w:rPr>
  </w:style>
  <w:style w:type="paragraph" w:styleId="Heading4">
    <w:name w:val="heading 4"/>
    <w:basedOn w:val="Normal"/>
    <w:next w:val="Normal"/>
    <w:qFormat/>
    <w:pPr>
      <w:keepNext/>
      <w:jc w:val="both"/>
      <w:outlineLvl w:val="3"/>
    </w:pPr>
    <w:rPr>
      <w:b/>
      <w:sz w:val="28"/>
    </w:rPr>
  </w:style>
  <w:style w:type="paragraph" w:styleId="Heading5">
    <w:name w:val="heading 5"/>
    <w:basedOn w:val="Normal"/>
    <w:next w:val="Normal"/>
    <w:qFormat/>
    <w:pPr>
      <w:keepNext/>
      <w:jc w:val="both"/>
      <w:outlineLvl w:val="4"/>
    </w:pPr>
    <w:rPr>
      <w:rFonts w:ascii="Verdana" w:hAnsi="Verdana"/>
      <w:b/>
      <w:i/>
    </w:rPr>
  </w:style>
  <w:style w:type="paragraph" w:styleId="Heading6">
    <w:name w:val="heading 6"/>
    <w:basedOn w:val="Normal"/>
    <w:next w:val="Normal"/>
    <w:qFormat/>
    <w:pPr>
      <w:keepNext/>
      <w:outlineLvl w:val="5"/>
    </w:pPr>
    <w:rPr>
      <w:b/>
    </w:rPr>
  </w:style>
  <w:style w:type="paragraph" w:styleId="Heading7">
    <w:name w:val="heading 7"/>
    <w:basedOn w:val="Normal"/>
    <w:next w:val="Normal"/>
    <w:qFormat/>
    <w:pPr>
      <w:keepNext/>
      <w:jc w:val="center"/>
      <w:outlineLvl w:val="6"/>
    </w:pPr>
    <w:rPr>
      <w:rFonts w:ascii="Verdana" w:hAnsi="Verdana"/>
      <w:b/>
      <w:i/>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tabs>
        <w:tab w:val="left" w:pos="4962"/>
      </w:tabs>
      <w:jc w:val="both"/>
    </w:pPr>
    <w:rPr>
      <w:sz w:val="24"/>
    </w:rPr>
  </w:style>
  <w:style w:type="paragraph" w:styleId="Header">
    <w:name w:val="header"/>
    <w:basedOn w:val="Normal"/>
    <w:semiHidden/>
    <w:pPr>
      <w:tabs>
        <w:tab w:val="center" w:pos="4153"/>
        <w:tab w:val="right" w:pos="8306"/>
      </w:tabs>
    </w:pPr>
  </w:style>
  <w:style w:type="character" w:styleId="PageNumber">
    <w:name w:val="page number"/>
    <w:basedOn w:val="DefaultParagraphFont"/>
    <w:semiHidden/>
  </w:style>
  <w:style w:type="paragraph" w:styleId="BodyText2">
    <w:name w:val="Body Text 2"/>
    <w:basedOn w:val="Normal"/>
    <w:link w:val="BodyText2Char"/>
    <w:semiHidden/>
    <w:pPr>
      <w:jc w:val="both"/>
    </w:pPr>
    <w:rPr>
      <w:rFonts w:ascii="Verdana" w:hAnsi="Verdana"/>
      <w:i/>
    </w:rPr>
  </w:style>
  <w:style w:type="paragraph" w:styleId="Footer">
    <w:name w:val="footer"/>
    <w:basedOn w:val="Normal"/>
    <w:semiHidden/>
    <w:pPr>
      <w:tabs>
        <w:tab w:val="center" w:pos="4153"/>
        <w:tab w:val="right" w:pos="8306"/>
      </w:tabs>
    </w:pPr>
  </w:style>
  <w:style w:type="paragraph" w:styleId="BalloonText">
    <w:name w:val="Balloon Text"/>
    <w:basedOn w:val="Normal"/>
    <w:semiHidden/>
    <w:unhideWhenUsed/>
    <w:rPr>
      <w:rFonts w:ascii="Tahoma" w:hAnsi="Tahoma" w:cs="Tahoma"/>
      <w:sz w:val="16"/>
      <w:szCs w:val="16"/>
    </w:rPr>
  </w:style>
  <w:style w:type="character" w:customStyle="1" w:styleId="BalloonTextChar">
    <w:name w:val="Balloon Text Char"/>
    <w:semiHidden/>
    <w:rPr>
      <w:rFonts w:ascii="Tahoma" w:hAnsi="Tahoma" w:cs="Tahoma"/>
      <w:noProof/>
      <w:sz w:val="16"/>
      <w:szCs w:val="16"/>
    </w:rPr>
  </w:style>
  <w:style w:type="paragraph" w:styleId="ListParagraph">
    <w:name w:val="List Paragraph"/>
    <w:basedOn w:val="Normal"/>
    <w:uiPriority w:val="34"/>
    <w:qFormat/>
    <w:rsid w:val="00116BCC"/>
    <w:pPr>
      <w:ind w:left="708"/>
    </w:pPr>
  </w:style>
  <w:style w:type="character" w:customStyle="1" w:styleId="BodyText2Char">
    <w:name w:val="Body Text 2 Char"/>
    <w:link w:val="BodyText2"/>
    <w:semiHidden/>
    <w:rsid w:val="00E60C60"/>
    <w:rPr>
      <w:rFonts w:ascii="Verdana" w:hAnsi="Verdana"/>
      <w:i/>
      <w:noProof/>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764280">
      <w:bodyDiv w:val="1"/>
      <w:marLeft w:val="0"/>
      <w:marRight w:val="0"/>
      <w:marTop w:val="0"/>
      <w:marBottom w:val="0"/>
      <w:divBdr>
        <w:top w:val="none" w:sz="0" w:space="0" w:color="auto"/>
        <w:left w:val="none" w:sz="0" w:space="0" w:color="auto"/>
        <w:bottom w:val="none" w:sz="0" w:space="0" w:color="auto"/>
        <w:right w:val="none" w:sz="0" w:space="0" w:color="auto"/>
      </w:divBdr>
    </w:div>
    <w:div w:id="155004042">
      <w:bodyDiv w:val="1"/>
      <w:marLeft w:val="0"/>
      <w:marRight w:val="0"/>
      <w:marTop w:val="0"/>
      <w:marBottom w:val="0"/>
      <w:divBdr>
        <w:top w:val="none" w:sz="0" w:space="0" w:color="auto"/>
        <w:left w:val="none" w:sz="0" w:space="0" w:color="auto"/>
        <w:bottom w:val="none" w:sz="0" w:space="0" w:color="auto"/>
        <w:right w:val="none" w:sz="0" w:space="0" w:color="auto"/>
      </w:divBdr>
    </w:div>
    <w:div w:id="230117724">
      <w:bodyDiv w:val="1"/>
      <w:marLeft w:val="0"/>
      <w:marRight w:val="0"/>
      <w:marTop w:val="0"/>
      <w:marBottom w:val="0"/>
      <w:divBdr>
        <w:top w:val="none" w:sz="0" w:space="0" w:color="auto"/>
        <w:left w:val="none" w:sz="0" w:space="0" w:color="auto"/>
        <w:bottom w:val="none" w:sz="0" w:space="0" w:color="auto"/>
        <w:right w:val="none" w:sz="0" w:space="0" w:color="auto"/>
      </w:divBdr>
    </w:div>
    <w:div w:id="256329782">
      <w:bodyDiv w:val="1"/>
      <w:marLeft w:val="0"/>
      <w:marRight w:val="0"/>
      <w:marTop w:val="0"/>
      <w:marBottom w:val="0"/>
      <w:divBdr>
        <w:top w:val="none" w:sz="0" w:space="0" w:color="auto"/>
        <w:left w:val="none" w:sz="0" w:space="0" w:color="auto"/>
        <w:bottom w:val="none" w:sz="0" w:space="0" w:color="auto"/>
        <w:right w:val="none" w:sz="0" w:space="0" w:color="auto"/>
      </w:divBdr>
    </w:div>
    <w:div w:id="334386954">
      <w:bodyDiv w:val="1"/>
      <w:marLeft w:val="0"/>
      <w:marRight w:val="0"/>
      <w:marTop w:val="0"/>
      <w:marBottom w:val="0"/>
      <w:divBdr>
        <w:top w:val="none" w:sz="0" w:space="0" w:color="auto"/>
        <w:left w:val="none" w:sz="0" w:space="0" w:color="auto"/>
        <w:bottom w:val="none" w:sz="0" w:space="0" w:color="auto"/>
        <w:right w:val="none" w:sz="0" w:space="0" w:color="auto"/>
      </w:divBdr>
    </w:div>
    <w:div w:id="374699386">
      <w:bodyDiv w:val="1"/>
      <w:marLeft w:val="0"/>
      <w:marRight w:val="0"/>
      <w:marTop w:val="0"/>
      <w:marBottom w:val="0"/>
      <w:divBdr>
        <w:top w:val="none" w:sz="0" w:space="0" w:color="auto"/>
        <w:left w:val="none" w:sz="0" w:space="0" w:color="auto"/>
        <w:bottom w:val="none" w:sz="0" w:space="0" w:color="auto"/>
        <w:right w:val="none" w:sz="0" w:space="0" w:color="auto"/>
      </w:divBdr>
    </w:div>
    <w:div w:id="426006326">
      <w:bodyDiv w:val="1"/>
      <w:marLeft w:val="0"/>
      <w:marRight w:val="0"/>
      <w:marTop w:val="0"/>
      <w:marBottom w:val="0"/>
      <w:divBdr>
        <w:top w:val="none" w:sz="0" w:space="0" w:color="auto"/>
        <w:left w:val="none" w:sz="0" w:space="0" w:color="auto"/>
        <w:bottom w:val="none" w:sz="0" w:space="0" w:color="auto"/>
        <w:right w:val="none" w:sz="0" w:space="0" w:color="auto"/>
      </w:divBdr>
    </w:div>
    <w:div w:id="468910784">
      <w:bodyDiv w:val="1"/>
      <w:marLeft w:val="0"/>
      <w:marRight w:val="0"/>
      <w:marTop w:val="0"/>
      <w:marBottom w:val="0"/>
      <w:divBdr>
        <w:top w:val="none" w:sz="0" w:space="0" w:color="auto"/>
        <w:left w:val="none" w:sz="0" w:space="0" w:color="auto"/>
        <w:bottom w:val="none" w:sz="0" w:space="0" w:color="auto"/>
        <w:right w:val="none" w:sz="0" w:space="0" w:color="auto"/>
      </w:divBdr>
    </w:div>
    <w:div w:id="483552690">
      <w:bodyDiv w:val="1"/>
      <w:marLeft w:val="0"/>
      <w:marRight w:val="0"/>
      <w:marTop w:val="0"/>
      <w:marBottom w:val="0"/>
      <w:divBdr>
        <w:top w:val="none" w:sz="0" w:space="0" w:color="auto"/>
        <w:left w:val="none" w:sz="0" w:space="0" w:color="auto"/>
        <w:bottom w:val="none" w:sz="0" w:space="0" w:color="auto"/>
        <w:right w:val="none" w:sz="0" w:space="0" w:color="auto"/>
      </w:divBdr>
    </w:div>
    <w:div w:id="639379118">
      <w:bodyDiv w:val="1"/>
      <w:marLeft w:val="0"/>
      <w:marRight w:val="0"/>
      <w:marTop w:val="0"/>
      <w:marBottom w:val="0"/>
      <w:divBdr>
        <w:top w:val="none" w:sz="0" w:space="0" w:color="auto"/>
        <w:left w:val="none" w:sz="0" w:space="0" w:color="auto"/>
        <w:bottom w:val="none" w:sz="0" w:space="0" w:color="auto"/>
        <w:right w:val="none" w:sz="0" w:space="0" w:color="auto"/>
      </w:divBdr>
    </w:div>
    <w:div w:id="688719658">
      <w:bodyDiv w:val="1"/>
      <w:marLeft w:val="0"/>
      <w:marRight w:val="0"/>
      <w:marTop w:val="0"/>
      <w:marBottom w:val="0"/>
      <w:divBdr>
        <w:top w:val="none" w:sz="0" w:space="0" w:color="auto"/>
        <w:left w:val="none" w:sz="0" w:space="0" w:color="auto"/>
        <w:bottom w:val="none" w:sz="0" w:space="0" w:color="auto"/>
        <w:right w:val="none" w:sz="0" w:space="0" w:color="auto"/>
      </w:divBdr>
    </w:div>
    <w:div w:id="759715068">
      <w:bodyDiv w:val="1"/>
      <w:marLeft w:val="0"/>
      <w:marRight w:val="0"/>
      <w:marTop w:val="0"/>
      <w:marBottom w:val="0"/>
      <w:divBdr>
        <w:top w:val="none" w:sz="0" w:space="0" w:color="auto"/>
        <w:left w:val="none" w:sz="0" w:space="0" w:color="auto"/>
        <w:bottom w:val="none" w:sz="0" w:space="0" w:color="auto"/>
        <w:right w:val="none" w:sz="0" w:space="0" w:color="auto"/>
      </w:divBdr>
    </w:div>
    <w:div w:id="773356750">
      <w:bodyDiv w:val="1"/>
      <w:marLeft w:val="0"/>
      <w:marRight w:val="0"/>
      <w:marTop w:val="0"/>
      <w:marBottom w:val="0"/>
      <w:divBdr>
        <w:top w:val="none" w:sz="0" w:space="0" w:color="auto"/>
        <w:left w:val="none" w:sz="0" w:space="0" w:color="auto"/>
        <w:bottom w:val="none" w:sz="0" w:space="0" w:color="auto"/>
        <w:right w:val="none" w:sz="0" w:space="0" w:color="auto"/>
      </w:divBdr>
    </w:div>
    <w:div w:id="862979768">
      <w:bodyDiv w:val="1"/>
      <w:marLeft w:val="0"/>
      <w:marRight w:val="0"/>
      <w:marTop w:val="0"/>
      <w:marBottom w:val="0"/>
      <w:divBdr>
        <w:top w:val="none" w:sz="0" w:space="0" w:color="auto"/>
        <w:left w:val="none" w:sz="0" w:space="0" w:color="auto"/>
        <w:bottom w:val="none" w:sz="0" w:space="0" w:color="auto"/>
        <w:right w:val="none" w:sz="0" w:space="0" w:color="auto"/>
      </w:divBdr>
    </w:div>
    <w:div w:id="863132526">
      <w:bodyDiv w:val="1"/>
      <w:marLeft w:val="0"/>
      <w:marRight w:val="0"/>
      <w:marTop w:val="0"/>
      <w:marBottom w:val="0"/>
      <w:divBdr>
        <w:top w:val="none" w:sz="0" w:space="0" w:color="auto"/>
        <w:left w:val="none" w:sz="0" w:space="0" w:color="auto"/>
        <w:bottom w:val="none" w:sz="0" w:space="0" w:color="auto"/>
        <w:right w:val="none" w:sz="0" w:space="0" w:color="auto"/>
      </w:divBdr>
    </w:div>
    <w:div w:id="977224103">
      <w:bodyDiv w:val="1"/>
      <w:marLeft w:val="0"/>
      <w:marRight w:val="0"/>
      <w:marTop w:val="0"/>
      <w:marBottom w:val="0"/>
      <w:divBdr>
        <w:top w:val="none" w:sz="0" w:space="0" w:color="auto"/>
        <w:left w:val="none" w:sz="0" w:space="0" w:color="auto"/>
        <w:bottom w:val="none" w:sz="0" w:space="0" w:color="auto"/>
        <w:right w:val="none" w:sz="0" w:space="0" w:color="auto"/>
      </w:divBdr>
    </w:div>
    <w:div w:id="1128744316">
      <w:bodyDiv w:val="1"/>
      <w:marLeft w:val="0"/>
      <w:marRight w:val="0"/>
      <w:marTop w:val="0"/>
      <w:marBottom w:val="0"/>
      <w:divBdr>
        <w:top w:val="none" w:sz="0" w:space="0" w:color="auto"/>
        <w:left w:val="none" w:sz="0" w:space="0" w:color="auto"/>
        <w:bottom w:val="none" w:sz="0" w:space="0" w:color="auto"/>
        <w:right w:val="none" w:sz="0" w:space="0" w:color="auto"/>
      </w:divBdr>
    </w:div>
    <w:div w:id="1185944384">
      <w:bodyDiv w:val="1"/>
      <w:marLeft w:val="0"/>
      <w:marRight w:val="0"/>
      <w:marTop w:val="0"/>
      <w:marBottom w:val="0"/>
      <w:divBdr>
        <w:top w:val="none" w:sz="0" w:space="0" w:color="auto"/>
        <w:left w:val="none" w:sz="0" w:space="0" w:color="auto"/>
        <w:bottom w:val="none" w:sz="0" w:space="0" w:color="auto"/>
        <w:right w:val="none" w:sz="0" w:space="0" w:color="auto"/>
      </w:divBdr>
    </w:div>
    <w:div w:id="1189756361">
      <w:bodyDiv w:val="1"/>
      <w:marLeft w:val="0"/>
      <w:marRight w:val="0"/>
      <w:marTop w:val="0"/>
      <w:marBottom w:val="0"/>
      <w:divBdr>
        <w:top w:val="none" w:sz="0" w:space="0" w:color="auto"/>
        <w:left w:val="none" w:sz="0" w:space="0" w:color="auto"/>
        <w:bottom w:val="none" w:sz="0" w:space="0" w:color="auto"/>
        <w:right w:val="none" w:sz="0" w:space="0" w:color="auto"/>
      </w:divBdr>
    </w:div>
    <w:div w:id="1263027318">
      <w:bodyDiv w:val="1"/>
      <w:marLeft w:val="0"/>
      <w:marRight w:val="0"/>
      <w:marTop w:val="0"/>
      <w:marBottom w:val="0"/>
      <w:divBdr>
        <w:top w:val="none" w:sz="0" w:space="0" w:color="auto"/>
        <w:left w:val="none" w:sz="0" w:space="0" w:color="auto"/>
        <w:bottom w:val="none" w:sz="0" w:space="0" w:color="auto"/>
        <w:right w:val="none" w:sz="0" w:space="0" w:color="auto"/>
      </w:divBdr>
    </w:div>
    <w:div w:id="1274284138">
      <w:bodyDiv w:val="1"/>
      <w:marLeft w:val="0"/>
      <w:marRight w:val="0"/>
      <w:marTop w:val="0"/>
      <w:marBottom w:val="0"/>
      <w:divBdr>
        <w:top w:val="none" w:sz="0" w:space="0" w:color="auto"/>
        <w:left w:val="none" w:sz="0" w:space="0" w:color="auto"/>
        <w:bottom w:val="none" w:sz="0" w:space="0" w:color="auto"/>
        <w:right w:val="none" w:sz="0" w:space="0" w:color="auto"/>
      </w:divBdr>
    </w:div>
    <w:div w:id="1401253620">
      <w:bodyDiv w:val="1"/>
      <w:marLeft w:val="0"/>
      <w:marRight w:val="0"/>
      <w:marTop w:val="0"/>
      <w:marBottom w:val="0"/>
      <w:divBdr>
        <w:top w:val="none" w:sz="0" w:space="0" w:color="auto"/>
        <w:left w:val="none" w:sz="0" w:space="0" w:color="auto"/>
        <w:bottom w:val="none" w:sz="0" w:space="0" w:color="auto"/>
        <w:right w:val="none" w:sz="0" w:space="0" w:color="auto"/>
      </w:divBdr>
    </w:div>
    <w:div w:id="1457404945">
      <w:bodyDiv w:val="1"/>
      <w:marLeft w:val="0"/>
      <w:marRight w:val="0"/>
      <w:marTop w:val="0"/>
      <w:marBottom w:val="0"/>
      <w:divBdr>
        <w:top w:val="none" w:sz="0" w:space="0" w:color="auto"/>
        <w:left w:val="none" w:sz="0" w:space="0" w:color="auto"/>
        <w:bottom w:val="none" w:sz="0" w:space="0" w:color="auto"/>
        <w:right w:val="none" w:sz="0" w:space="0" w:color="auto"/>
      </w:divBdr>
    </w:div>
    <w:div w:id="1472601277">
      <w:bodyDiv w:val="1"/>
      <w:marLeft w:val="0"/>
      <w:marRight w:val="0"/>
      <w:marTop w:val="0"/>
      <w:marBottom w:val="0"/>
      <w:divBdr>
        <w:top w:val="none" w:sz="0" w:space="0" w:color="auto"/>
        <w:left w:val="none" w:sz="0" w:space="0" w:color="auto"/>
        <w:bottom w:val="none" w:sz="0" w:space="0" w:color="auto"/>
        <w:right w:val="none" w:sz="0" w:space="0" w:color="auto"/>
      </w:divBdr>
    </w:div>
    <w:div w:id="1607805716">
      <w:bodyDiv w:val="1"/>
      <w:marLeft w:val="0"/>
      <w:marRight w:val="0"/>
      <w:marTop w:val="0"/>
      <w:marBottom w:val="0"/>
      <w:divBdr>
        <w:top w:val="none" w:sz="0" w:space="0" w:color="auto"/>
        <w:left w:val="none" w:sz="0" w:space="0" w:color="auto"/>
        <w:bottom w:val="none" w:sz="0" w:space="0" w:color="auto"/>
        <w:right w:val="none" w:sz="0" w:space="0" w:color="auto"/>
      </w:divBdr>
    </w:div>
    <w:div w:id="1657342477">
      <w:bodyDiv w:val="1"/>
      <w:marLeft w:val="0"/>
      <w:marRight w:val="0"/>
      <w:marTop w:val="0"/>
      <w:marBottom w:val="0"/>
      <w:divBdr>
        <w:top w:val="none" w:sz="0" w:space="0" w:color="auto"/>
        <w:left w:val="none" w:sz="0" w:space="0" w:color="auto"/>
        <w:bottom w:val="none" w:sz="0" w:space="0" w:color="auto"/>
        <w:right w:val="none" w:sz="0" w:space="0" w:color="auto"/>
      </w:divBdr>
    </w:div>
    <w:div w:id="1673871825">
      <w:bodyDiv w:val="1"/>
      <w:marLeft w:val="0"/>
      <w:marRight w:val="0"/>
      <w:marTop w:val="0"/>
      <w:marBottom w:val="0"/>
      <w:divBdr>
        <w:top w:val="none" w:sz="0" w:space="0" w:color="auto"/>
        <w:left w:val="none" w:sz="0" w:space="0" w:color="auto"/>
        <w:bottom w:val="none" w:sz="0" w:space="0" w:color="auto"/>
        <w:right w:val="none" w:sz="0" w:space="0" w:color="auto"/>
      </w:divBdr>
    </w:div>
    <w:div w:id="1862814088">
      <w:bodyDiv w:val="1"/>
      <w:marLeft w:val="0"/>
      <w:marRight w:val="0"/>
      <w:marTop w:val="0"/>
      <w:marBottom w:val="0"/>
      <w:divBdr>
        <w:top w:val="none" w:sz="0" w:space="0" w:color="auto"/>
        <w:left w:val="none" w:sz="0" w:space="0" w:color="auto"/>
        <w:bottom w:val="none" w:sz="0" w:space="0" w:color="auto"/>
        <w:right w:val="none" w:sz="0" w:space="0" w:color="auto"/>
      </w:divBdr>
    </w:div>
    <w:div w:id="1964991975">
      <w:bodyDiv w:val="1"/>
      <w:marLeft w:val="0"/>
      <w:marRight w:val="0"/>
      <w:marTop w:val="0"/>
      <w:marBottom w:val="0"/>
      <w:divBdr>
        <w:top w:val="none" w:sz="0" w:space="0" w:color="auto"/>
        <w:left w:val="none" w:sz="0" w:space="0" w:color="auto"/>
        <w:bottom w:val="none" w:sz="0" w:space="0" w:color="auto"/>
        <w:right w:val="none" w:sz="0" w:space="0" w:color="auto"/>
      </w:divBdr>
    </w:div>
    <w:div w:id="2062705108">
      <w:bodyDiv w:val="1"/>
      <w:marLeft w:val="0"/>
      <w:marRight w:val="0"/>
      <w:marTop w:val="0"/>
      <w:marBottom w:val="0"/>
      <w:divBdr>
        <w:top w:val="none" w:sz="0" w:space="0" w:color="auto"/>
        <w:left w:val="none" w:sz="0" w:space="0" w:color="auto"/>
        <w:bottom w:val="none" w:sz="0" w:space="0" w:color="auto"/>
        <w:right w:val="none" w:sz="0" w:space="0" w:color="auto"/>
      </w:divBdr>
    </w:div>
    <w:div w:id="2108649173">
      <w:bodyDiv w:val="1"/>
      <w:marLeft w:val="0"/>
      <w:marRight w:val="0"/>
      <w:marTop w:val="0"/>
      <w:marBottom w:val="0"/>
      <w:divBdr>
        <w:top w:val="none" w:sz="0" w:space="0" w:color="auto"/>
        <w:left w:val="none" w:sz="0" w:space="0" w:color="auto"/>
        <w:bottom w:val="none" w:sz="0" w:space="0" w:color="auto"/>
        <w:right w:val="none" w:sz="0" w:space="0" w:color="auto"/>
      </w:divBdr>
    </w:div>
    <w:div w:id="2111926524">
      <w:bodyDiv w:val="1"/>
      <w:marLeft w:val="0"/>
      <w:marRight w:val="0"/>
      <w:marTop w:val="0"/>
      <w:marBottom w:val="0"/>
      <w:divBdr>
        <w:top w:val="none" w:sz="0" w:space="0" w:color="auto"/>
        <w:left w:val="none" w:sz="0" w:space="0" w:color="auto"/>
        <w:bottom w:val="none" w:sz="0" w:space="0" w:color="auto"/>
        <w:right w:val="none" w:sz="0" w:space="0" w:color="auto"/>
      </w:divBdr>
    </w:div>
    <w:div w:id="2118521602">
      <w:bodyDiv w:val="1"/>
      <w:marLeft w:val="0"/>
      <w:marRight w:val="0"/>
      <w:marTop w:val="0"/>
      <w:marBottom w:val="0"/>
      <w:divBdr>
        <w:top w:val="none" w:sz="0" w:space="0" w:color="auto"/>
        <w:left w:val="none" w:sz="0" w:space="0" w:color="auto"/>
        <w:bottom w:val="none" w:sz="0" w:space="0" w:color="auto"/>
        <w:right w:val="none" w:sz="0" w:space="0" w:color="auto"/>
      </w:divBdr>
    </w:div>
    <w:div w:id="2146848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media/image8.emf"/><Relationship Id="rId10" Type="http://schemas.openxmlformats.org/officeDocument/2006/relationships/image" Target="media/image3.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518EBD-9653-4ED1-869F-A60508DEE4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23</Pages>
  <Words>6929</Words>
  <Characters>39497</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N.P. BRIJUNI</Company>
  <LinksUpToDate>false</LinksUpToDate>
  <CharactersWithSpaces>46334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Mira</cp:lastModifiedBy>
  <cp:revision>10</cp:revision>
  <cp:lastPrinted>2022-01-29T12:27:00Z</cp:lastPrinted>
  <dcterms:created xsi:type="dcterms:W3CDTF">2022-02-01T07:41:00Z</dcterms:created>
  <dcterms:modified xsi:type="dcterms:W3CDTF">2022-02-01T15:49:00Z</dcterms:modified>
</cp:coreProperties>
</file>